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45698C" w14:textId="77777777" w:rsidR="00A64B31" w:rsidRDefault="00D96F8A" w:rsidP="00FB0CD2">
      <w:pPr>
        <w:pBdr>
          <w:top w:val="nil"/>
          <w:left w:val="nil"/>
          <w:bottom w:val="nil"/>
          <w:right w:val="nil"/>
          <w:between w:val="nil"/>
        </w:pBdr>
        <w:rPr>
          <w:rFonts w:ascii="Gellix" w:eastAsia="Gellix" w:hAnsi="Gellix" w:cs="Gellix"/>
          <w:sz w:val="56"/>
          <w:szCs w:val="56"/>
        </w:rPr>
      </w:pPr>
      <w:r>
        <w:rPr>
          <w:rFonts w:ascii="Gellix" w:eastAsia="Gellix" w:hAnsi="Gellix" w:cs="Gellix"/>
          <w:sz w:val="56"/>
          <w:szCs w:val="56"/>
        </w:rPr>
        <w:t xml:space="preserve">ICC Paper on AI </w:t>
      </w:r>
      <w:r w:rsidR="00FF31A9">
        <w:rPr>
          <w:rFonts w:ascii="Gellix" w:eastAsia="Gellix" w:hAnsi="Gellix" w:cs="Gellix"/>
          <w:sz w:val="56"/>
          <w:szCs w:val="56"/>
        </w:rPr>
        <w:t xml:space="preserve">governance </w:t>
      </w:r>
      <w:r>
        <w:rPr>
          <w:rFonts w:ascii="Gellix" w:eastAsia="Gellix" w:hAnsi="Gellix" w:cs="Gellix"/>
          <w:sz w:val="56"/>
          <w:szCs w:val="56"/>
        </w:rPr>
        <w:t xml:space="preserve">and standards </w:t>
      </w:r>
    </w:p>
    <w:p w14:paraId="5845698D" w14:textId="2B60902E" w:rsidR="00A64B31" w:rsidRDefault="00B52635" w:rsidP="00FB0CD2">
      <w:pPr>
        <w:rPr>
          <w:rFonts w:ascii="Gellix" w:eastAsia="Gellix" w:hAnsi="Gellix" w:cs="Gellix"/>
          <w:b/>
        </w:rPr>
      </w:pPr>
      <w:r>
        <w:rPr>
          <w:rFonts w:ascii="Gellix" w:eastAsia="Gellix" w:hAnsi="Gellix" w:cs="Gellix"/>
          <w:b/>
        </w:rPr>
        <w:t>FINAL</w:t>
      </w:r>
      <w:r w:rsidR="005C5150">
        <w:rPr>
          <w:rFonts w:ascii="Gellix" w:eastAsia="Gellix" w:hAnsi="Gellix" w:cs="Gellix"/>
          <w:b/>
        </w:rPr>
        <w:t xml:space="preserve"> </w:t>
      </w:r>
      <w:r w:rsidR="00D96F8A">
        <w:rPr>
          <w:rFonts w:ascii="Gellix" w:eastAsia="Gellix" w:hAnsi="Gellix" w:cs="Gellix"/>
          <w:b/>
        </w:rPr>
        <w:t>DRAFT (</w:t>
      </w:r>
      <w:r w:rsidR="00C1143D">
        <w:rPr>
          <w:rFonts w:ascii="Gellix" w:eastAsia="Gellix" w:hAnsi="Gellix" w:cs="Gellix"/>
          <w:b/>
        </w:rPr>
        <w:t>2 June</w:t>
      </w:r>
      <w:r w:rsidR="00D96F8A">
        <w:rPr>
          <w:rFonts w:ascii="Gellix" w:eastAsia="Gellix" w:hAnsi="Gellix" w:cs="Gellix"/>
          <w:b/>
        </w:rPr>
        <w:t xml:space="preserve"> 2025)</w:t>
      </w:r>
    </w:p>
    <w:p w14:paraId="5845698E" w14:textId="77777777" w:rsidR="00A64B31" w:rsidRDefault="00A64B31" w:rsidP="00FB0CD2">
      <w:pPr>
        <w:rPr>
          <w:rFonts w:ascii="Gellix" w:eastAsia="Gellix" w:hAnsi="Gellix" w:cs="Gellix"/>
          <w:b/>
          <w:color w:val="FF0000"/>
        </w:rPr>
      </w:pPr>
    </w:p>
    <w:p w14:paraId="5845698F" w14:textId="77777777" w:rsidR="00A64B31" w:rsidRDefault="00D96F8A" w:rsidP="00FB0CD2">
      <w:pPr>
        <w:rPr>
          <w:rFonts w:ascii="Gellix" w:eastAsia="Gellix" w:hAnsi="Gellix" w:cs="Gellix"/>
          <w:color w:val="FF0000"/>
        </w:rPr>
      </w:pPr>
      <w:r>
        <w:rPr>
          <w:rFonts w:ascii="Gellix" w:eastAsia="Gellix" w:hAnsi="Gellix" w:cs="Gellix"/>
          <w:b/>
          <w:color w:val="FF0000"/>
        </w:rPr>
        <w:t xml:space="preserve">GUIDANCE FOR MEMBERS: </w:t>
      </w:r>
      <w:r>
        <w:rPr>
          <w:rFonts w:ascii="Gellix" w:eastAsia="Gellix" w:hAnsi="Gellix" w:cs="Gellix"/>
          <w:color w:val="FF0000"/>
        </w:rPr>
        <w:t xml:space="preserve">The ICC Paper on AI and standards aims to address the urgent need for cohesive AI governance in light of diverse global, regional, and national regulations that risk fragmentation. </w:t>
      </w:r>
    </w:p>
    <w:p w14:paraId="58456990" w14:textId="5DAAED22" w:rsidR="00A64B31" w:rsidRDefault="00D96F8A" w:rsidP="00FB0CD2">
      <w:pPr>
        <w:rPr>
          <w:rFonts w:ascii="Gellix" w:eastAsia="Gellix" w:hAnsi="Gellix" w:cs="Gellix"/>
          <w:color w:val="FF0000"/>
        </w:rPr>
      </w:pPr>
      <w:r>
        <w:rPr>
          <w:rFonts w:ascii="Gellix" w:eastAsia="Gellix" w:hAnsi="Gellix" w:cs="Gellix"/>
          <w:color w:val="FF0000"/>
        </w:rPr>
        <w:t>The paper focus</w:t>
      </w:r>
      <w:r w:rsidR="00BD590C">
        <w:rPr>
          <w:rFonts w:ascii="Gellix" w:eastAsia="Gellix" w:hAnsi="Gellix" w:cs="Gellix"/>
          <w:color w:val="FF0000"/>
        </w:rPr>
        <w:t>es</w:t>
      </w:r>
      <w:r>
        <w:rPr>
          <w:rFonts w:ascii="Gellix" w:eastAsia="Gellix" w:hAnsi="Gellix" w:cs="Gellix"/>
          <w:color w:val="FF0000"/>
        </w:rPr>
        <w:t xml:space="preserve"> on providing high-level policy messages and recommendations on the role of standards in bringing consistency to global AI governance. </w:t>
      </w:r>
    </w:p>
    <w:p w14:paraId="58456991" w14:textId="77777777" w:rsidR="00A64B31" w:rsidRDefault="00D96F8A" w:rsidP="00FB0CD2">
      <w:pPr>
        <w:rPr>
          <w:rFonts w:ascii="Gellix" w:eastAsia="Gellix" w:hAnsi="Gellix" w:cs="Gellix"/>
          <w:color w:val="FF0000"/>
        </w:rPr>
      </w:pPr>
      <w:r>
        <w:rPr>
          <w:rFonts w:ascii="Gellix" w:eastAsia="Gellix" w:hAnsi="Gellix" w:cs="Gellix"/>
          <w:color w:val="FF0000"/>
        </w:rPr>
        <w:t>Please provide your input and comments in track changes below. Please note that the paper is intended to be concise and focus on providing high-level recommendations.</w:t>
      </w:r>
    </w:p>
    <w:p w14:paraId="472F220A" w14:textId="77777777" w:rsidR="001A6EE7" w:rsidRPr="00C43738" w:rsidRDefault="001A6EE7" w:rsidP="001A6EE7">
      <w:pPr>
        <w:rPr>
          <w:rFonts w:ascii="Gellix" w:eastAsia="Gellix" w:hAnsi="Gellix" w:cs="Gellix"/>
          <w:b/>
          <w:bCs/>
          <w:color w:val="FF0000"/>
          <w:u w:val="single"/>
        </w:rPr>
      </w:pPr>
      <w:r w:rsidRPr="00C43738">
        <w:rPr>
          <w:rFonts w:ascii="Gellix" w:eastAsia="Gellix" w:hAnsi="Gellix" w:cs="Gellix"/>
          <w:b/>
          <w:bCs/>
          <w:color w:val="FF0000"/>
          <w:u w:val="single"/>
        </w:rPr>
        <w:t>Members of the Commission and National Committees are asked to provide a final review of the paper and signal any fundamental objections to the positions expressed.</w:t>
      </w:r>
    </w:p>
    <w:p w14:paraId="62282CF3" w14:textId="41497F42" w:rsidR="001A6EE7" w:rsidRDefault="001A6EE7" w:rsidP="001A6EE7">
      <w:pPr>
        <w:rPr>
          <w:rFonts w:ascii="Gellix" w:eastAsia="Gellix" w:hAnsi="Gellix" w:cs="Gellix"/>
          <w:color w:val="FF0000"/>
        </w:rPr>
      </w:pPr>
      <w:r w:rsidRPr="001A6EE7">
        <w:rPr>
          <w:rFonts w:ascii="Gellix" w:eastAsia="Gellix" w:hAnsi="Gellix" w:cs="Gellix"/>
          <w:color w:val="FF0000"/>
        </w:rPr>
        <w:t xml:space="preserve">Please </w:t>
      </w:r>
      <w:r w:rsidR="00BE0787">
        <w:rPr>
          <w:rFonts w:ascii="Gellix" w:eastAsia="Gellix" w:hAnsi="Gellix" w:cs="Gellix"/>
          <w:color w:val="FF0000"/>
        </w:rPr>
        <w:t xml:space="preserve">raise any fundamental objections </w:t>
      </w:r>
      <w:r w:rsidRPr="001A6EE7">
        <w:rPr>
          <w:rFonts w:ascii="Gellix" w:eastAsia="Gellix" w:hAnsi="Gellix" w:cs="Gellix"/>
          <w:color w:val="FF0000"/>
        </w:rPr>
        <w:t xml:space="preserve">with </w:t>
      </w:r>
      <w:hyperlink r:id="rId12" w:history="1">
        <w:r w:rsidR="00E74B37" w:rsidRPr="00D15D84">
          <w:rPr>
            <w:rStyle w:val="Hyperlink"/>
            <w:rFonts w:ascii="Gellix" w:eastAsia="Gellix" w:hAnsi="Gellix" w:cs="Gellix"/>
          </w:rPr>
          <w:t>meni.anastasiadou@iccwbo.org</w:t>
        </w:r>
      </w:hyperlink>
      <w:r w:rsidR="00E74B37">
        <w:rPr>
          <w:rFonts w:ascii="Gellix" w:eastAsia="Gellix" w:hAnsi="Gellix" w:cs="Gellix"/>
          <w:color w:val="FF0000"/>
        </w:rPr>
        <w:t xml:space="preserve"> </w:t>
      </w:r>
      <w:r w:rsidRPr="001A6EE7">
        <w:rPr>
          <w:rFonts w:ascii="Gellix" w:eastAsia="Gellix" w:hAnsi="Gellix" w:cs="Gellix"/>
          <w:color w:val="FF0000"/>
        </w:rPr>
        <w:t xml:space="preserve">by </w:t>
      </w:r>
      <w:r w:rsidR="00400CE7">
        <w:rPr>
          <w:rFonts w:ascii="Gellix" w:eastAsia="Gellix" w:hAnsi="Gellix" w:cs="Gellix"/>
          <w:color w:val="FF0000"/>
        </w:rPr>
        <w:t>Friday</w:t>
      </w:r>
      <w:r w:rsidRPr="001A6EE7">
        <w:rPr>
          <w:rFonts w:ascii="Gellix" w:eastAsia="Gellix" w:hAnsi="Gellix" w:cs="Gellix"/>
          <w:color w:val="FF0000"/>
        </w:rPr>
        <w:t xml:space="preserve">, 13 </w:t>
      </w:r>
      <w:r w:rsidR="00C43738">
        <w:rPr>
          <w:rFonts w:ascii="Gellix" w:eastAsia="Gellix" w:hAnsi="Gellix" w:cs="Gellix"/>
          <w:color w:val="FF0000"/>
        </w:rPr>
        <w:t>June</w:t>
      </w:r>
      <w:r w:rsidRPr="001A6EE7">
        <w:rPr>
          <w:rFonts w:ascii="Gellix" w:eastAsia="Gellix" w:hAnsi="Gellix" w:cs="Gellix"/>
          <w:color w:val="FF0000"/>
        </w:rPr>
        <w:t>.</w:t>
      </w:r>
    </w:p>
    <w:p w14:paraId="58456992" w14:textId="77777777" w:rsidR="00A64B31" w:rsidRDefault="00A64B31" w:rsidP="00FB0CD2">
      <w:pPr>
        <w:rPr>
          <w:rFonts w:ascii="Gellix" w:eastAsia="Gellix" w:hAnsi="Gellix" w:cs="Gellix"/>
          <w:color w:val="FF0000"/>
        </w:rPr>
      </w:pPr>
    </w:p>
    <w:p w14:paraId="58456993" w14:textId="77777777" w:rsidR="00A64B31" w:rsidRDefault="00D96F8A" w:rsidP="00BE1B18">
      <w:pPr>
        <w:rPr>
          <w:rFonts w:ascii="Gellix" w:eastAsia="Gellix" w:hAnsi="Gellix" w:cs="Gellix"/>
          <w:b/>
          <w:color w:val="FF0000"/>
        </w:rPr>
      </w:pPr>
      <w:r>
        <w:rPr>
          <w:rFonts w:ascii="Gellix" w:eastAsia="Gellix" w:hAnsi="Gellix" w:cs="Gellix"/>
          <w:b/>
          <w:color w:val="FF0000"/>
        </w:rPr>
        <w:t>INTERNAL WORKING DOCUMENT - PLEASE DO NOT CIRCULATE</w:t>
      </w:r>
    </w:p>
    <w:p w14:paraId="58456994" w14:textId="77777777" w:rsidR="00A64B31" w:rsidRDefault="00A64B31" w:rsidP="00BE1B18">
      <w:pPr>
        <w:rPr>
          <w:rFonts w:ascii="Gellix" w:eastAsia="Gellix" w:hAnsi="Gellix" w:cs="Gellix"/>
          <w:b/>
          <w:color w:val="FF0000"/>
        </w:rPr>
      </w:pPr>
    </w:p>
    <w:p w14:paraId="6AEEB253" w14:textId="77777777" w:rsidR="00D05279" w:rsidRDefault="00D05279" w:rsidP="00FB0CD2">
      <w:pPr>
        <w:numPr>
          <w:ilvl w:val="0"/>
          <w:numId w:val="6"/>
        </w:numPr>
        <w:spacing w:after="240"/>
        <w:rPr>
          <w:rFonts w:ascii="Gellix" w:eastAsia="Gellix" w:hAnsi="Gellix" w:cs="Gellix"/>
          <w:b/>
        </w:rPr>
      </w:pPr>
      <w:r>
        <w:rPr>
          <w:rFonts w:ascii="Gellix" w:eastAsia="Gellix" w:hAnsi="Gellix" w:cs="Gellix"/>
          <w:b/>
        </w:rPr>
        <w:t>Executive summary</w:t>
      </w:r>
    </w:p>
    <w:p w14:paraId="623C018D" w14:textId="7B0FC2BE" w:rsidR="00D05279" w:rsidRPr="00D05279" w:rsidRDefault="00D05279" w:rsidP="00FB0CD2">
      <w:pPr>
        <w:spacing w:after="240"/>
        <w:rPr>
          <w:rFonts w:ascii="Gellix" w:eastAsia="Gellix" w:hAnsi="Gellix" w:cs="Gellix"/>
          <w:bCs/>
        </w:rPr>
      </w:pPr>
      <w:r w:rsidRPr="00D05279">
        <w:rPr>
          <w:rFonts w:ascii="Gellix" w:eastAsia="Gellix" w:hAnsi="Gellix" w:cs="Gellix"/>
          <w:bCs/>
        </w:rPr>
        <w:t>The ICC Paper on AI and Standards responds to the growing risk of fragmentation in global AI governance. As countries and regions develop their own AI laws</w:t>
      </w:r>
      <w:r w:rsidR="00490B79">
        <w:rPr>
          <w:rFonts w:ascii="Gellix" w:eastAsia="Gellix" w:hAnsi="Gellix" w:cs="Gellix"/>
          <w:bCs/>
        </w:rPr>
        <w:t>,</w:t>
      </w:r>
      <w:r w:rsidRPr="00D05279">
        <w:rPr>
          <w:rFonts w:ascii="Gellix" w:eastAsia="Gellix" w:hAnsi="Gellix" w:cs="Gellix"/>
          <w:bCs/>
        </w:rPr>
        <w:t xml:space="preserve"> policies</w:t>
      </w:r>
      <w:r w:rsidR="00490B79">
        <w:rPr>
          <w:rFonts w:ascii="Gellix" w:eastAsia="Gellix" w:hAnsi="Gellix" w:cs="Gellix"/>
          <w:bCs/>
        </w:rPr>
        <w:t>, and standards</w:t>
      </w:r>
      <w:r w:rsidRPr="00D05279">
        <w:rPr>
          <w:rFonts w:ascii="Gellix" w:eastAsia="Gellix" w:hAnsi="Gellix" w:cs="Gellix"/>
          <w:bCs/>
        </w:rPr>
        <w:t>, divergent approaches are emerging. This creates complexity for businesses</w:t>
      </w:r>
      <w:r w:rsidR="00490B79">
        <w:rPr>
          <w:rFonts w:ascii="Gellix" w:eastAsia="Gellix" w:hAnsi="Gellix" w:cs="Gellix"/>
          <w:bCs/>
        </w:rPr>
        <w:t xml:space="preserve"> of all sizes</w:t>
      </w:r>
      <w:r w:rsidRPr="00D05279">
        <w:rPr>
          <w:rFonts w:ascii="Gellix" w:eastAsia="Gellix" w:hAnsi="Gellix" w:cs="Gellix"/>
          <w:bCs/>
        </w:rPr>
        <w:t xml:space="preserve">, increases compliance costs, </w:t>
      </w:r>
      <w:r w:rsidR="00490B79">
        <w:rPr>
          <w:rFonts w:ascii="Gellix" w:eastAsia="Gellix" w:hAnsi="Gellix" w:cs="Gellix"/>
          <w:bCs/>
        </w:rPr>
        <w:t xml:space="preserve">limits national productivity gains by impeding AI adoption, </w:t>
      </w:r>
      <w:r w:rsidRPr="00D05279">
        <w:rPr>
          <w:rFonts w:ascii="Gellix" w:eastAsia="Gellix" w:hAnsi="Gellix" w:cs="Gellix"/>
          <w:bCs/>
        </w:rPr>
        <w:t>and risks slowing cross-border collaboration and innovation.</w:t>
      </w:r>
    </w:p>
    <w:p w14:paraId="3314718A" w14:textId="18F65F36" w:rsidR="00D05279" w:rsidRPr="00D05279" w:rsidRDefault="00D05279" w:rsidP="00FB0CD2">
      <w:pPr>
        <w:spacing w:after="240"/>
        <w:rPr>
          <w:rFonts w:ascii="Gellix" w:eastAsia="Gellix" w:hAnsi="Gellix" w:cs="Gellix"/>
          <w:bCs/>
        </w:rPr>
      </w:pPr>
      <w:r w:rsidRPr="00D05279">
        <w:rPr>
          <w:rFonts w:ascii="Gellix" w:eastAsia="Gellix" w:hAnsi="Gellix" w:cs="Gellix"/>
          <w:bCs/>
        </w:rPr>
        <w:t xml:space="preserve">The paper highlights the important role of </w:t>
      </w:r>
      <w:r w:rsidR="00392353">
        <w:rPr>
          <w:rFonts w:ascii="Gellix" w:eastAsia="Gellix" w:hAnsi="Gellix" w:cs="Gellix"/>
          <w:bCs/>
        </w:rPr>
        <w:t xml:space="preserve">international and </w:t>
      </w:r>
      <w:r w:rsidR="00A011E8" w:rsidRPr="00A011E8">
        <w:rPr>
          <w:rFonts w:ascii="Gellix" w:eastAsia="Gellix" w:hAnsi="Gellix" w:cs="Gellix"/>
          <w:bCs/>
          <w:lang w:val="en-US"/>
        </w:rPr>
        <w:t>market-driven standards</w:t>
      </w:r>
      <w:r w:rsidRPr="00D05279">
        <w:rPr>
          <w:rFonts w:ascii="Gellix" w:eastAsia="Gellix" w:hAnsi="Gellix" w:cs="Gellix"/>
          <w:bCs/>
        </w:rPr>
        <w:t xml:space="preserve"> in supporting consistent, practical implementation of AI regulation. Standards can serve as trusted tools for aligning technical practices, managing risk, and embedding safety, transparency, and accountability in AI systems. When referenced in regulation or used in procurement, they can help bridge legal differences across jurisdictions and strengthen trust in AI.</w:t>
      </w:r>
    </w:p>
    <w:p w14:paraId="32548384" w14:textId="2148634C" w:rsidR="00D05279" w:rsidRPr="00D05279" w:rsidRDefault="00D05279" w:rsidP="00FB0CD2">
      <w:pPr>
        <w:spacing w:after="240"/>
        <w:rPr>
          <w:rFonts w:ascii="Gellix" w:eastAsia="Gellix" w:hAnsi="Gellix" w:cs="Gellix"/>
          <w:bCs/>
        </w:rPr>
      </w:pPr>
      <w:r w:rsidRPr="00D05279">
        <w:rPr>
          <w:rFonts w:ascii="Gellix" w:eastAsia="Gellix" w:hAnsi="Gellix" w:cs="Gellix"/>
          <w:bCs/>
        </w:rPr>
        <w:lastRenderedPageBreak/>
        <w:t xml:space="preserve">To ensure effective and interoperable AI governance, greater participation in standards development is essential. Businesses </w:t>
      </w:r>
      <w:r w:rsidR="003111D7">
        <w:rPr>
          <w:rFonts w:ascii="Gellix" w:eastAsia="Gellix" w:hAnsi="Gellix" w:cs="Gellix"/>
          <w:bCs/>
        </w:rPr>
        <w:t xml:space="preserve">and governments </w:t>
      </w:r>
      <w:r w:rsidRPr="00D05279">
        <w:rPr>
          <w:rFonts w:ascii="Gellix" w:eastAsia="Gellix" w:hAnsi="Gellix" w:cs="Gellix"/>
          <w:bCs/>
        </w:rPr>
        <w:t>bring critical expertise and operational insight to the process</w:t>
      </w:r>
      <w:r w:rsidR="00C452B2">
        <w:rPr>
          <w:rFonts w:ascii="Gellix" w:eastAsia="Gellix" w:hAnsi="Gellix" w:cs="Gellix"/>
          <w:bCs/>
        </w:rPr>
        <w:t>, showcasing the role</w:t>
      </w:r>
      <w:r w:rsidRPr="00D05279">
        <w:rPr>
          <w:rFonts w:ascii="Gellix" w:eastAsia="Gellix" w:hAnsi="Gellix" w:cs="Gellix"/>
          <w:bCs/>
        </w:rPr>
        <w:t xml:space="preserve"> of standards in advancing responsible, innovation-friendly AI policies. Promoting the use of </w:t>
      </w:r>
      <w:r w:rsidR="00A011E8" w:rsidRPr="00A011E8">
        <w:rPr>
          <w:rFonts w:ascii="Gellix" w:eastAsia="Gellix" w:hAnsi="Gellix" w:cs="Gellix"/>
          <w:bCs/>
          <w:lang w:val="en-US"/>
        </w:rPr>
        <w:t>market-driven standards</w:t>
      </w:r>
      <w:r w:rsidRPr="00D05279">
        <w:rPr>
          <w:rFonts w:ascii="Gellix" w:eastAsia="Gellix" w:hAnsi="Gellix" w:cs="Gellix"/>
          <w:bCs/>
        </w:rPr>
        <w:t xml:space="preserve"> can reduce duplication, improve regulatory coherence, and support policy objectives.</w:t>
      </w:r>
    </w:p>
    <w:p w14:paraId="58456995" w14:textId="452E2192" w:rsidR="00A64B31" w:rsidRDefault="00D96F8A" w:rsidP="00FB0CD2">
      <w:pPr>
        <w:numPr>
          <w:ilvl w:val="0"/>
          <w:numId w:val="6"/>
        </w:numPr>
        <w:spacing w:after="240"/>
        <w:rPr>
          <w:rFonts w:ascii="Gellix" w:eastAsia="Gellix" w:hAnsi="Gellix" w:cs="Gellix"/>
          <w:b/>
        </w:rPr>
      </w:pPr>
      <w:r>
        <w:rPr>
          <w:rFonts w:ascii="Gellix" w:eastAsia="Gellix" w:hAnsi="Gellix" w:cs="Gellix"/>
          <w:b/>
        </w:rPr>
        <w:t>The role of standards – why we need them and what they help us achieve</w:t>
      </w:r>
    </w:p>
    <w:p w14:paraId="58456996" w14:textId="31E2005D" w:rsidR="00A64B31" w:rsidRDefault="00D96F8A" w:rsidP="00FB0CD2">
      <w:pPr>
        <w:spacing w:before="240" w:after="240"/>
        <w:rPr>
          <w:rFonts w:ascii="Gellix" w:eastAsia="Gellix" w:hAnsi="Gellix" w:cs="Gellix"/>
        </w:rPr>
      </w:pPr>
      <w:r>
        <w:rPr>
          <w:rFonts w:ascii="Gellix" w:eastAsia="Gellix" w:hAnsi="Gellix" w:cs="Gellix"/>
        </w:rPr>
        <w:t>From companies developing algorithms to those deploying AI services or systems for their end-users, each participant in the AI supply chain needs clear, consistent guidelines. International standards are a vital tool for establishing these shared expectations.</w:t>
      </w:r>
      <w:r w:rsidR="00250CD4">
        <w:rPr>
          <w:rFonts w:ascii="Gellix" w:eastAsia="Gellix" w:hAnsi="Gellix" w:cs="Gellix"/>
        </w:rPr>
        <w:t xml:space="preserve"> </w:t>
      </w:r>
      <w:r w:rsidR="00250CD4" w:rsidRPr="00BE1B18">
        <w:rPr>
          <w:rFonts w:ascii="Gellix" w:eastAsia="Gellix" w:hAnsi="Gellix" w:cs="Gellix"/>
        </w:rPr>
        <w:t xml:space="preserve">They serve as a foundation for fostering interoperability, </w:t>
      </w:r>
      <w:r w:rsidR="005C23C6">
        <w:rPr>
          <w:rFonts w:ascii="Gellix" w:eastAsia="Gellix" w:hAnsi="Gellix" w:cs="Gellix"/>
        </w:rPr>
        <w:t>providing</w:t>
      </w:r>
      <w:r w:rsidR="00F77F08">
        <w:rPr>
          <w:rFonts w:ascii="Gellix" w:eastAsia="Gellix" w:hAnsi="Gellix" w:cs="Gellix"/>
        </w:rPr>
        <w:t xml:space="preserve"> </w:t>
      </w:r>
      <w:r w:rsidR="005C23C6">
        <w:rPr>
          <w:rFonts w:ascii="Gellix" w:eastAsia="Gellix" w:hAnsi="Gellix" w:cs="Gellix"/>
        </w:rPr>
        <w:t>the means for regulatory</w:t>
      </w:r>
      <w:r w:rsidR="00250CD4" w:rsidRPr="00BE1B18">
        <w:rPr>
          <w:rFonts w:ascii="Gellix" w:eastAsia="Gellix" w:hAnsi="Gellix" w:cs="Gellix"/>
        </w:rPr>
        <w:t xml:space="preserve"> alignment, and facilitating the global dissemination of AI innovation.</w:t>
      </w:r>
    </w:p>
    <w:p w14:paraId="33C28957" w14:textId="09795A38" w:rsidR="00326FD1" w:rsidRDefault="00326FD1" w:rsidP="00FB0CD2">
      <w:pPr>
        <w:spacing w:before="240" w:after="240"/>
        <w:rPr>
          <w:rFonts w:ascii="Gellix" w:eastAsia="Gellix" w:hAnsi="Gellix" w:cs="Gellix"/>
        </w:rPr>
      </w:pPr>
      <w:r>
        <w:rPr>
          <w:rFonts w:ascii="Gellix" w:eastAsia="Gellix" w:hAnsi="Gellix" w:cs="Gellix"/>
        </w:rPr>
        <w:t>Standards bodies maintain the standards they produce and regularly determine if each standard should be revised, confirmed, or withdrawn. This ability to evolve alongside AI technologies is an important feature of standards (in comparison to other mechanisms) that keep them relevant and effective over time.</w:t>
      </w:r>
    </w:p>
    <w:p w14:paraId="58456997" w14:textId="77777777" w:rsidR="00A64B31" w:rsidRDefault="00D96F8A" w:rsidP="00FB0CD2">
      <w:pPr>
        <w:spacing w:before="240" w:after="240"/>
        <w:rPr>
          <w:rFonts w:ascii="Gellix" w:eastAsia="Gellix" w:hAnsi="Gellix" w:cs="Gellix"/>
          <w:b/>
        </w:rPr>
      </w:pPr>
      <w:r>
        <w:rPr>
          <w:rFonts w:ascii="Gellix" w:eastAsia="Gellix" w:hAnsi="Gellix" w:cs="Gellix"/>
          <w:b/>
        </w:rPr>
        <w:t>What are standards?</w:t>
      </w:r>
    </w:p>
    <w:p w14:paraId="58456998" w14:textId="1DA316D9" w:rsidR="00A64B31" w:rsidRDefault="00D96F8A" w:rsidP="00FB0CD2">
      <w:pPr>
        <w:spacing w:before="240" w:after="240"/>
        <w:rPr>
          <w:rFonts w:ascii="Gellix" w:eastAsia="Gellix" w:hAnsi="Gellix" w:cs="Gellix"/>
        </w:rPr>
      </w:pPr>
      <w:r>
        <w:rPr>
          <w:rFonts w:ascii="Gellix" w:eastAsia="Gellix" w:hAnsi="Gellix" w:cs="Gellix"/>
        </w:rPr>
        <w:t xml:space="preserve">Standards are documents specifying requirements, guidelines, or characteristics of a product, service, process, or system. They are developed in rules-based, voluntary, multistakeholder organizations that can be horizontal or </w:t>
      </w:r>
      <w:r w:rsidR="002C72EC">
        <w:rPr>
          <w:rFonts w:ascii="Gellix" w:eastAsia="Gellix" w:hAnsi="Gellix" w:cs="Gellix"/>
        </w:rPr>
        <w:t>sectoral</w:t>
      </w:r>
      <w:r>
        <w:rPr>
          <w:rFonts w:ascii="Gellix" w:eastAsia="Gellix" w:hAnsi="Gellix" w:cs="Gellix"/>
        </w:rPr>
        <w:t xml:space="preserve">, and can be national, regional, or international. Examples of prominent information technology </w:t>
      </w:r>
      <w:r w:rsidR="001F2C66">
        <w:rPr>
          <w:rFonts w:ascii="Gellix" w:eastAsia="Gellix" w:hAnsi="Gellix" w:cs="Gellix"/>
        </w:rPr>
        <w:t xml:space="preserve">international and </w:t>
      </w:r>
      <w:r w:rsidR="00A011E8" w:rsidRPr="00A011E8">
        <w:rPr>
          <w:rFonts w:ascii="Gellix" w:eastAsia="Gellix" w:hAnsi="Gellix" w:cs="Gellix"/>
          <w:lang w:val="en-US"/>
        </w:rPr>
        <w:t>market-driven standards</w:t>
      </w:r>
      <w:r w:rsidR="00A011E8">
        <w:rPr>
          <w:rFonts w:ascii="Gellix" w:eastAsia="Gellix" w:hAnsi="Gellix" w:cs="Gellix"/>
          <w:lang w:val="en-US"/>
        </w:rPr>
        <w:t xml:space="preserve"> </w:t>
      </w:r>
      <w:r>
        <w:rPr>
          <w:rFonts w:ascii="Gellix" w:eastAsia="Gellix" w:hAnsi="Gellix" w:cs="Gellix"/>
        </w:rPr>
        <w:t>bodies include the International Organisation for Standardisation (ISO), the International Electrotechnical Commission (IEC), the International Telecommunications Union (ITU), the Institute of Electrical and Electronics Engineers (IEEE), the Internet Engineering Task Force (IETF</w:t>
      </w:r>
      <w:r w:rsidR="002C72EC">
        <w:rPr>
          <w:rFonts w:ascii="Gellix" w:eastAsia="Gellix" w:hAnsi="Gellix" w:cs="Gellix"/>
        </w:rPr>
        <w:t>)</w:t>
      </w:r>
      <w:r w:rsidR="004810E0">
        <w:rPr>
          <w:rFonts w:ascii="Gellix" w:eastAsia="Gellix" w:hAnsi="Gellix" w:cs="Gellix"/>
        </w:rPr>
        <w:t>,</w:t>
      </w:r>
      <w:r w:rsidR="004810E0" w:rsidRPr="00BE1B18">
        <w:rPr>
          <w:rFonts w:ascii="Gellix" w:eastAsia="Gellix" w:hAnsi="Gellix" w:cs="Gellix"/>
        </w:rPr>
        <w:t xml:space="preserve"> and the </w:t>
      </w:r>
      <w:r w:rsidR="004810E0" w:rsidRPr="0020177E">
        <w:rPr>
          <w:rFonts w:ascii="Gellix" w:eastAsia="Gellix" w:hAnsi="Gellix" w:cs="Gellix"/>
        </w:rPr>
        <w:t>European Telecommunications Standards</w:t>
      </w:r>
      <w:r w:rsidR="004810E0">
        <w:rPr>
          <w:rFonts w:ascii="Gellix" w:eastAsia="Gellix" w:hAnsi="Gellix" w:cs="Gellix"/>
        </w:rPr>
        <w:t xml:space="preserve"> </w:t>
      </w:r>
      <w:r w:rsidR="0020177E" w:rsidRPr="0020177E">
        <w:rPr>
          <w:rFonts w:ascii="Gellix" w:eastAsia="Gellix" w:hAnsi="Gellix" w:cs="Gellix"/>
        </w:rPr>
        <w:t>Institute</w:t>
      </w:r>
      <w:r w:rsidR="0020177E">
        <w:rPr>
          <w:rFonts w:ascii="Gellix" w:eastAsia="Gellix" w:hAnsi="Gellix" w:cs="Gellix"/>
        </w:rPr>
        <w:t xml:space="preserve"> (ETSI)</w:t>
      </w:r>
      <w:r>
        <w:rPr>
          <w:rFonts w:ascii="Gellix" w:eastAsia="Gellix" w:hAnsi="Gellix" w:cs="Gellix"/>
        </w:rPr>
        <w:t>. Standards development organizations tend to have mature governance systems</w:t>
      </w:r>
      <w:r w:rsidR="00533350">
        <w:rPr>
          <w:rFonts w:ascii="Gellix" w:eastAsia="Gellix" w:hAnsi="Gellix" w:cs="Gellix"/>
        </w:rPr>
        <w:t>, particularly due process requirements</w:t>
      </w:r>
      <w:r w:rsidR="005104ED">
        <w:rPr>
          <w:rStyle w:val="FootnoteReference"/>
          <w:rFonts w:ascii="Gellix" w:eastAsia="Gellix" w:hAnsi="Gellix" w:cs="Gellix"/>
        </w:rPr>
        <w:footnoteReference w:id="2"/>
      </w:r>
      <w:r w:rsidR="00533350">
        <w:rPr>
          <w:rFonts w:ascii="Gellix" w:eastAsia="Gellix" w:hAnsi="Gellix" w:cs="Gellix"/>
        </w:rPr>
        <w:t>,</w:t>
      </w:r>
      <w:r>
        <w:rPr>
          <w:rFonts w:ascii="Gellix" w:eastAsia="Gellix" w:hAnsi="Gellix" w:cs="Gellix"/>
        </w:rPr>
        <w:t xml:space="preserve"> that take the time needed to elicit contributions from a broad set of stakeholders and establish consensus among them. The process is intended to produce high quality results that reflect the best available technical solutions or guidance</w:t>
      </w:r>
      <w:r w:rsidR="004D6119">
        <w:rPr>
          <w:rFonts w:ascii="Gellix" w:eastAsia="Gellix" w:hAnsi="Gellix" w:cs="Gellix"/>
        </w:rPr>
        <w:t xml:space="preserve">, </w:t>
      </w:r>
      <w:r w:rsidR="00340F93">
        <w:rPr>
          <w:rFonts w:ascii="Gellix" w:eastAsia="Gellix" w:hAnsi="Gellix" w:cs="Gellix"/>
        </w:rPr>
        <w:t>to build public trust and legitimacy especially in sectors like health</w:t>
      </w:r>
      <w:r w:rsidR="008F7449">
        <w:rPr>
          <w:rFonts w:ascii="Gellix" w:eastAsia="Gellix" w:hAnsi="Gellix" w:cs="Gellix"/>
        </w:rPr>
        <w:t xml:space="preserve">, justice </w:t>
      </w:r>
      <w:r w:rsidR="00340F93">
        <w:rPr>
          <w:rFonts w:ascii="Gellix" w:eastAsia="Gellix" w:hAnsi="Gellix" w:cs="Gellix"/>
        </w:rPr>
        <w:t>and education</w:t>
      </w:r>
      <w:r>
        <w:rPr>
          <w:rFonts w:ascii="Gellix" w:eastAsia="Gellix" w:hAnsi="Gellix" w:cs="Gellix"/>
        </w:rPr>
        <w:t>. Regulation can benefit from this deliberative process by citing standards to frame a regulatory approach or set more specific requirements to carry out the regulation.</w:t>
      </w:r>
    </w:p>
    <w:p w14:paraId="58456999" w14:textId="77777777" w:rsidR="00A64B31" w:rsidRDefault="00D96F8A" w:rsidP="00FB0CD2">
      <w:pPr>
        <w:rPr>
          <w:rFonts w:ascii="Gellix" w:eastAsia="Gellix" w:hAnsi="Gellix" w:cs="Gellix"/>
          <w:b/>
        </w:rPr>
      </w:pPr>
      <w:r>
        <w:rPr>
          <w:rFonts w:ascii="Gellix" w:eastAsia="Gellix" w:hAnsi="Gellix" w:cs="Gellix"/>
          <w:b/>
        </w:rPr>
        <w:lastRenderedPageBreak/>
        <w:t>How are standards and other soft law mechanisms used in relation to AI technologies?</w:t>
      </w:r>
    </w:p>
    <w:p w14:paraId="5845699A" w14:textId="349EF3C8" w:rsidR="00A64B31" w:rsidRDefault="00D96F8A" w:rsidP="00FB0CD2">
      <w:pPr>
        <w:spacing w:before="240" w:after="240"/>
        <w:rPr>
          <w:rFonts w:ascii="Gellix" w:eastAsia="Gellix" w:hAnsi="Gellix" w:cs="Gellix"/>
        </w:rPr>
      </w:pPr>
      <w:r>
        <w:rPr>
          <w:rFonts w:ascii="Gellix" w:eastAsia="Gellix" w:hAnsi="Gellix" w:cs="Gellix"/>
        </w:rPr>
        <w:t>There are a variety of “soft law” mechanisms available that can be used to govern information technology: standards, open</w:t>
      </w:r>
      <w:r w:rsidR="00100BC6">
        <w:rPr>
          <w:rFonts w:ascii="Gellix" w:eastAsia="Gellix" w:hAnsi="Gellix" w:cs="Gellix"/>
        </w:rPr>
        <w:t>-</w:t>
      </w:r>
      <w:r>
        <w:rPr>
          <w:rFonts w:ascii="Gellix" w:eastAsia="Gellix" w:hAnsi="Gellix" w:cs="Gellix"/>
        </w:rPr>
        <w:t>source software (OSS), high-level expert group findings, requirements mandated through the supply chain (i.e. requirements imposed through procurement), codes of conduct, and guidelines.</w:t>
      </w:r>
      <w:r w:rsidR="0017289E">
        <w:rPr>
          <w:rFonts w:ascii="Gellix" w:eastAsia="Gellix" w:hAnsi="Gellix" w:cs="Gellix"/>
        </w:rPr>
        <w:t xml:space="preserve"> </w:t>
      </w:r>
    </w:p>
    <w:p w14:paraId="5845699B" w14:textId="6534D19F" w:rsidR="00A64B31" w:rsidRDefault="00D96F8A" w:rsidP="00FB0CD2">
      <w:pPr>
        <w:spacing w:before="240" w:after="240"/>
        <w:rPr>
          <w:rFonts w:ascii="Gellix" w:eastAsia="Gellix" w:hAnsi="Gellix" w:cs="Gellix"/>
        </w:rPr>
      </w:pPr>
      <w:r>
        <w:rPr>
          <w:rFonts w:ascii="Gellix" w:eastAsia="Gellix" w:hAnsi="Gellix" w:cs="Gellix"/>
        </w:rPr>
        <w:t>AI systems and solutions are often built from parts produced by different actors, often in different jurisdictions</w:t>
      </w:r>
      <w:r w:rsidR="00EF1FA3">
        <w:rPr>
          <w:rFonts w:ascii="Gellix" w:eastAsia="Gellix" w:hAnsi="Gellix" w:cs="Gellix"/>
        </w:rPr>
        <w:t>.</w:t>
      </w:r>
      <w:r w:rsidR="00575F13">
        <w:rPr>
          <w:rFonts w:ascii="Gellix" w:eastAsia="Gellix" w:hAnsi="Gellix" w:cs="Gellix"/>
        </w:rPr>
        <w:t xml:space="preserve"> </w:t>
      </w:r>
      <w:r w:rsidR="00EF1FA3">
        <w:rPr>
          <w:rFonts w:ascii="Gellix" w:eastAsia="Gellix" w:hAnsi="Gellix" w:cs="Gellix"/>
        </w:rPr>
        <w:t>S</w:t>
      </w:r>
      <w:r w:rsidR="00575F13">
        <w:rPr>
          <w:rFonts w:ascii="Gellix" w:eastAsia="Gellix" w:hAnsi="Gellix" w:cs="Gellix"/>
        </w:rPr>
        <w:t>tandards</w:t>
      </w:r>
      <w:r>
        <w:rPr>
          <w:rFonts w:ascii="Gellix" w:eastAsia="Gellix" w:hAnsi="Gellix" w:cs="Gellix"/>
        </w:rPr>
        <w:t xml:space="preserve"> contribute to the vital objective of assuring responsible</w:t>
      </w:r>
      <w:r w:rsidR="00EF1FA3" w:rsidRPr="00BE1B18">
        <w:rPr>
          <w:rFonts w:ascii="Gellix" w:eastAsia="Gellix" w:hAnsi="Gellix" w:cs="Gellix"/>
        </w:rPr>
        <w:t>, safe</w:t>
      </w:r>
      <w:r w:rsidR="000F5469">
        <w:rPr>
          <w:rFonts w:ascii="Gellix" w:eastAsia="Gellix" w:hAnsi="Gellix" w:cs="Gellix"/>
        </w:rPr>
        <w:t>,</w:t>
      </w:r>
      <w:r w:rsidR="00F07095" w:rsidRPr="00BE1B18">
        <w:rPr>
          <w:rFonts w:ascii="Gellix" w:eastAsia="Gellix" w:hAnsi="Gellix" w:cs="Gellix"/>
        </w:rPr>
        <w:t xml:space="preserve"> </w:t>
      </w:r>
      <w:r w:rsidR="00EF1FA3" w:rsidRPr="00BE1B18">
        <w:rPr>
          <w:rFonts w:ascii="Gellix" w:eastAsia="Gellix" w:hAnsi="Gellix" w:cs="Gellix"/>
        </w:rPr>
        <w:t>secure</w:t>
      </w:r>
      <w:r w:rsidR="000F5469">
        <w:rPr>
          <w:rFonts w:ascii="Gellix" w:eastAsia="Gellix" w:hAnsi="Gellix" w:cs="Gellix"/>
        </w:rPr>
        <w:t xml:space="preserve"> and</w:t>
      </w:r>
      <w:r w:rsidR="00575F13" w:rsidRPr="00BE1B18">
        <w:rPr>
          <w:rFonts w:ascii="Gellix" w:eastAsia="Gellix" w:hAnsi="Gellix" w:cs="Gellix"/>
        </w:rPr>
        <w:t xml:space="preserve"> </w:t>
      </w:r>
      <w:r w:rsidR="00F714D7">
        <w:rPr>
          <w:rFonts w:ascii="Gellix" w:eastAsia="Gellix" w:hAnsi="Gellix" w:cs="Gellix"/>
        </w:rPr>
        <w:t>interoperable</w:t>
      </w:r>
      <w:r w:rsidR="0042066F">
        <w:rPr>
          <w:rFonts w:ascii="Gellix" w:eastAsia="Gellix" w:hAnsi="Gellix" w:cs="Gellix"/>
        </w:rPr>
        <w:t xml:space="preserve"> </w:t>
      </w:r>
      <w:r>
        <w:rPr>
          <w:rFonts w:ascii="Gellix" w:eastAsia="Gellix" w:hAnsi="Gellix" w:cs="Gellix"/>
        </w:rPr>
        <w:t xml:space="preserve">AI systems and solutions by fostering technical </w:t>
      </w:r>
      <w:r w:rsidR="00E34695">
        <w:rPr>
          <w:rFonts w:ascii="Gellix" w:eastAsia="Gellix" w:hAnsi="Gellix" w:cs="Gellix"/>
        </w:rPr>
        <w:t xml:space="preserve">consistency </w:t>
      </w:r>
      <w:r>
        <w:rPr>
          <w:rFonts w:ascii="Gellix" w:eastAsia="Gellix" w:hAnsi="Gellix" w:cs="Gellix"/>
        </w:rPr>
        <w:t xml:space="preserve">and regulatory </w:t>
      </w:r>
      <w:r w:rsidR="00B10D12">
        <w:rPr>
          <w:rFonts w:ascii="Gellix" w:eastAsia="Gellix" w:hAnsi="Gellix" w:cs="Gellix"/>
        </w:rPr>
        <w:t>alignment</w:t>
      </w:r>
      <w:r w:rsidR="00274777">
        <w:rPr>
          <w:rFonts w:ascii="Gellix" w:eastAsia="Gellix" w:hAnsi="Gellix" w:cs="Gellix"/>
        </w:rPr>
        <w:t>.</w:t>
      </w:r>
      <w:r w:rsidR="00250CD4" w:rsidRPr="00BE1B18">
        <w:rPr>
          <w:rFonts w:ascii="Times New Roman" w:eastAsia="Times New Roman" w:hAnsi="Times New Roman" w:cs="Times New Roman"/>
          <w:sz w:val="24"/>
          <w:szCs w:val="24"/>
          <w:lang w:eastAsia="da-DK"/>
        </w:rPr>
        <w:t xml:space="preserve"> </w:t>
      </w:r>
      <w:r w:rsidR="00250CD4" w:rsidRPr="00BE1B18">
        <w:rPr>
          <w:rFonts w:ascii="Gellix" w:eastAsia="Gellix" w:hAnsi="Gellix" w:cs="Gellix"/>
        </w:rPr>
        <w:t xml:space="preserve">This harmonization is essential for maintaining consistency in </w:t>
      </w:r>
      <w:r w:rsidR="006F2120">
        <w:rPr>
          <w:rFonts w:ascii="Gellix" w:eastAsia="Gellix" w:hAnsi="Gellix" w:cs="Gellix"/>
        </w:rPr>
        <w:t xml:space="preserve">these </w:t>
      </w:r>
      <w:r w:rsidR="00250CD4" w:rsidRPr="00BE1B18">
        <w:rPr>
          <w:rFonts w:ascii="Gellix" w:eastAsia="Gellix" w:hAnsi="Gellix" w:cs="Gellix"/>
        </w:rPr>
        <w:t>practices and compliance across global markets</w:t>
      </w:r>
      <w:r w:rsidR="00250CD4">
        <w:rPr>
          <w:rFonts w:ascii="Gellix" w:eastAsia="Gellix" w:hAnsi="Gellix" w:cs="Gellix"/>
        </w:rPr>
        <w:t xml:space="preserve">. </w:t>
      </w:r>
      <w:r>
        <w:rPr>
          <w:rFonts w:ascii="Gellix" w:eastAsia="Gellix" w:hAnsi="Gellix" w:cs="Gellix"/>
        </w:rPr>
        <w:t xml:space="preserve">In the field of AI, some standards are developed with the goal of </w:t>
      </w:r>
      <w:r w:rsidR="00B10D12">
        <w:rPr>
          <w:rFonts w:ascii="Gellix" w:eastAsia="Gellix" w:hAnsi="Gellix" w:cs="Gellix"/>
        </w:rPr>
        <w:t xml:space="preserve">harmonising </w:t>
      </w:r>
      <w:r>
        <w:rPr>
          <w:rFonts w:ascii="Gellix" w:eastAsia="Gellix" w:hAnsi="Gellix" w:cs="Gellix"/>
        </w:rPr>
        <w:t xml:space="preserve">foundational concepts or to promote responsible AI management practices. Standards can also provide the means to address broad principles, including principles that are defined in laws and regulation. </w:t>
      </w:r>
      <w:r w:rsidR="00AC18B6" w:rsidRPr="00BE1B18">
        <w:rPr>
          <w:rFonts w:ascii="Gellix" w:eastAsia="Gellix" w:hAnsi="Gellix" w:cs="Gellix"/>
        </w:rPr>
        <w:t xml:space="preserve">Other standards are being developed to manage safety and security risks to protect the information managed on those systems as well as the persons and organizations involved. </w:t>
      </w:r>
      <w:r>
        <w:rPr>
          <w:rFonts w:ascii="Gellix" w:eastAsia="Gellix" w:hAnsi="Gellix" w:cs="Gellix"/>
        </w:rPr>
        <w:t>Risk management and AI governance are two areas where standards provide consistency of concepts and approach to risk management and system assurance, as discussed in the case studies below.</w:t>
      </w:r>
      <w:r w:rsidR="002B5807">
        <w:rPr>
          <w:rFonts w:ascii="Gellix" w:eastAsia="Gellix" w:hAnsi="Gellix" w:cs="Gellix"/>
        </w:rPr>
        <w:t xml:space="preserve"> </w:t>
      </w:r>
    </w:p>
    <w:p w14:paraId="5845699C" w14:textId="153767E8" w:rsidR="00A64B31" w:rsidRDefault="00D96F8A" w:rsidP="00FB0CD2">
      <w:pPr>
        <w:spacing w:before="240" w:after="240"/>
        <w:rPr>
          <w:rFonts w:ascii="Gellix" w:eastAsia="Gellix" w:hAnsi="Gellix" w:cs="Gellix"/>
        </w:rPr>
      </w:pPr>
      <w:r>
        <w:rPr>
          <w:rFonts w:ascii="Gellix" w:eastAsia="Gellix" w:hAnsi="Gellix" w:cs="Gellix"/>
        </w:rPr>
        <w:t>Other soft law mechanisms also play valuable roles and are sometimes conflated with standards. In Information Technology (IT</w:t>
      </w:r>
      <w:r w:rsidR="00575F13">
        <w:rPr>
          <w:rFonts w:ascii="Gellix" w:eastAsia="Gellix" w:hAnsi="Gellix" w:cs="Gellix"/>
        </w:rPr>
        <w:t>)</w:t>
      </w:r>
      <w:r w:rsidR="006F150A">
        <w:rPr>
          <w:rFonts w:ascii="Gellix" w:eastAsia="Gellix" w:hAnsi="Gellix" w:cs="Gellix"/>
        </w:rPr>
        <w:t xml:space="preserve"> </w:t>
      </w:r>
      <w:r w:rsidR="006F150A" w:rsidRPr="00BE1B18">
        <w:rPr>
          <w:rFonts w:ascii="Gellix" w:eastAsia="Gellix" w:hAnsi="Gellix" w:cs="Gellix"/>
        </w:rPr>
        <w:t>and Operational Technology (OT)</w:t>
      </w:r>
      <w:r w:rsidR="00575F13">
        <w:rPr>
          <w:rFonts w:ascii="Gellix" w:eastAsia="Gellix" w:hAnsi="Gellix" w:cs="Gellix"/>
        </w:rPr>
        <w:t>,</w:t>
      </w:r>
      <w:r>
        <w:rPr>
          <w:rFonts w:ascii="Gellix" w:eastAsia="Gellix" w:hAnsi="Gellix" w:cs="Gellix"/>
        </w:rPr>
        <w:t xml:space="preserve"> technical interoperability is often supported by the use of </w:t>
      </w:r>
      <w:r w:rsidR="00D51F5C">
        <w:rPr>
          <w:rFonts w:ascii="Gellix" w:eastAsia="Gellix" w:hAnsi="Gellix" w:cs="Gellix"/>
        </w:rPr>
        <w:t xml:space="preserve">OSS </w:t>
      </w:r>
      <w:r w:rsidR="002E792C">
        <w:rPr>
          <w:rFonts w:ascii="Gellix" w:eastAsia="Gellix" w:hAnsi="Gellix" w:cs="Gellix"/>
        </w:rPr>
        <w:t>implementation</w:t>
      </w:r>
      <w:r>
        <w:rPr>
          <w:rFonts w:ascii="Gellix" w:eastAsia="Gellix" w:hAnsi="Gellix" w:cs="Gellix"/>
        </w:rPr>
        <w:t xml:space="preserve"> which serves as </w:t>
      </w:r>
      <w:r w:rsidR="0063799B">
        <w:rPr>
          <w:rFonts w:ascii="Gellix" w:eastAsia="Gellix" w:hAnsi="Gellix" w:cs="Gellix"/>
        </w:rPr>
        <w:t>a</w:t>
      </w:r>
      <w:r>
        <w:rPr>
          <w:rFonts w:ascii="Gellix" w:eastAsia="Gellix" w:hAnsi="Gellix" w:cs="Gellix"/>
        </w:rPr>
        <w:t xml:space="preserve"> methodology for collaborative software development. OSS is widely used to define application programming interfaces (APIs) and protocols. Technology-specific principles, codes of conduct, and guidelines </w:t>
      </w:r>
      <w:r w:rsidR="00EB2BB5">
        <w:rPr>
          <w:rFonts w:ascii="Gellix" w:eastAsia="Gellix" w:hAnsi="Gellix" w:cs="Gellix"/>
        </w:rPr>
        <w:t>(e.g.</w:t>
      </w:r>
      <w:r w:rsidR="00C33271">
        <w:rPr>
          <w:rFonts w:ascii="Gellix" w:eastAsia="Gellix" w:hAnsi="Gellix" w:cs="Gellix"/>
        </w:rPr>
        <w:t xml:space="preserve"> </w:t>
      </w:r>
      <w:r w:rsidR="005E4F03" w:rsidRPr="00BE1B18">
        <w:rPr>
          <w:rFonts w:ascii="Gellix" w:eastAsia="Gellix" w:hAnsi="Gellix" w:cs="Gellix"/>
        </w:rPr>
        <w:t>secure and safe software engineering</w:t>
      </w:r>
      <w:r w:rsidR="00EB2BB5">
        <w:rPr>
          <w:rFonts w:ascii="Gellix" w:eastAsia="Gellix" w:hAnsi="Gellix" w:cs="Gellix"/>
        </w:rPr>
        <w:t>)</w:t>
      </w:r>
      <w:r w:rsidR="005E4F03" w:rsidRPr="00BE1B18">
        <w:rPr>
          <w:rFonts w:ascii="Gellix" w:eastAsia="Gellix" w:hAnsi="Gellix" w:cs="Gellix"/>
        </w:rPr>
        <w:t xml:space="preserve"> </w:t>
      </w:r>
      <w:r>
        <w:rPr>
          <w:rFonts w:ascii="Gellix" w:eastAsia="Gellix" w:hAnsi="Gellix" w:cs="Gellix"/>
        </w:rPr>
        <w:t>can be developed to outline the</w:t>
      </w:r>
      <w:r w:rsidR="00C33271">
        <w:rPr>
          <w:rFonts w:ascii="Gellix" w:eastAsia="Gellix" w:hAnsi="Gellix" w:cs="Gellix"/>
        </w:rPr>
        <w:t xml:space="preserve"> </w:t>
      </w:r>
      <w:r>
        <w:rPr>
          <w:rFonts w:ascii="Gellix" w:eastAsia="Gellix" w:hAnsi="Gellix" w:cs="Gellix"/>
        </w:rPr>
        <w:t>norms of behaviour and/or best practice expected from a certain group of actors or experts, including to define how to comply with laws and regulations. For example, the Organization for Economic Cooperation and Development (OECD) adopted groundbreaking AI Principles in 2019 which have been formally adhered to by the OECD’s 38 member countries, the European Union, and nine other countries. Another example is the</w:t>
      </w:r>
      <w:hyperlink r:id="rId13">
        <w:r w:rsidR="00A64B31">
          <w:rPr>
            <w:rFonts w:ascii="Gellix" w:eastAsia="Gellix" w:hAnsi="Gellix" w:cs="Gellix"/>
          </w:rPr>
          <w:t xml:space="preserve"> Hiroshima Code of Conduct for Organizations Developing Advanced AI Systems</w:t>
        </w:r>
      </w:hyperlink>
      <w:r>
        <w:rPr>
          <w:rFonts w:ascii="Gellix" w:eastAsia="Gellix" w:hAnsi="Gellix" w:cs="Gellix"/>
        </w:rPr>
        <w:t xml:space="preserve"> adopted by the G7 in 2023, on which companies can voluntarily contribute to an</w:t>
      </w:r>
      <w:hyperlink r:id="rId14">
        <w:r w:rsidR="00A64B31">
          <w:rPr>
            <w:rFonts w:ascii="Gellix" w:eastAsia="Gellix" w:hAnsi="Gellix" w:cs="Gellix"/>
          </w:rPr>
          <w:t xml:space="preserve"> OECD reporting framework</w:t>
        </w:r>
      </w:hyperlink>
      <w:r>
        <w:rPr>
          <w:rFonts w:ascii="Gellix" w:eastAsia="Gellix" w:hAnsi="Gellix" w:cs="Gellix"/>
        </w:rPr>
        <w:t xml:space="preserve"> on their actions to adhere to the code. </w:t>
      </w:r>
    </w:p>
    <w:p w14:paraId="5845699D" w14:textId="6C62B9CB" w:rsidR="00A64B31" w:rsidRDefault="00F12A8F" w:rsidP="00FB0CD2">
      <w:pPr>
        <w:spacing w:before="240" w:after="240"/>
        <w:rPr>
          <w:rFonts w:ascii="Gellix" w:eastAsia="Gellix" w:hAnsi="Gellix" w:cs="Gellix"/>
        </w:rPr>
      </w:pPr>
      <w:r w:rsidRPr="00F12A8F">
        <w:rPr>
          <w:rFonts w:ascii="Gellix" w:eastAsia="Gellix" w:hAnsi="Gellix" w:cs="Gellix"/>
        </w:rPr>
        <w:t xml:space="preserve">Many organisations struggle to adopt AI standards due to a lack of awareness, technical expertise, or regulatory clarity. Regarding the second factor (technical expertise), while there is a growing body of guidelines and frameworks, there is still a need for detailed practical information to guide </w:t>
      </w:r>
      <w:r w:rsidR="000B5402" w:rsidRPr="00BE1B18">
        <w:rPr>
          <w:rFonts w:ascii="Gellix" w:eastAsia="Gellix" w:hAnsi="Gellix" w:cs="Gellix"/>
        </w:rPr>
        <w:t>the comprehensive and coherent  and</w:t>
      </w:r>
      <w:r w:rsidRPr="00BE1B18">
        <w:rPr>
          <w:rFonts w:ascii="Gellix" w:eastAsia="Gellix" w:hAnsi="Gellix" w:cs="Gellix"/>
        </w:rPr>
        <w:t xml:space="preserve"> </w:t>
      </w:r>
      <w:r w:rsidRPr="00F12A8F">
        <w:rPr>
          <w:rFonts w:ascii="Gellix" w:eastAsia="Gellix" w:hAnsi="Gellix" w:cs="Gellix"/>
        </w:rPr>
        <w:t xml:space="preserve">implementation of </w:t>
      </w:r>
      <w:r w:rsidRPr="00F12A8F">
        <w:rPr>
          <w:rFonts w:ascii="Gellix" w:eastAsia="Gellix" w:hAnsi="Gellix" w:cs="Gellix"/>
        </w:rPr>
        <w:lastRenderedPageBreak/>
        <w:t>standards</w:t>
      </w:r>
      <w:r w:rsidR="00A26131">
        <w:rPr>
          <w:rFonts w:ascii="Gellix" w:eastAsia="Gellix" w:hAnsi="Gellix" w:cs="Gellix"/>
        </w:rPr>
        <w:t xml:space="preserve"> </w:t>
      </w:r>
      <w:r w:rsidR="00A26131" w:rsidRPr="00BE1B18">
        <w:rPr>
          <w:rFonts w:ascii="Gellix" w:eastAsia="Gellix" w:hAnsi="Gellix" w:cs="Gellix"/>
        </w:rPr>
        <w:t xml:space="preserve">which serve also to guide organizations </w:t>
      </w:r>
      <w:r w:rsidR="00EB2BB5">
        <w:rPr>
          <w:rFonts w:ascii="Gellix" w:eastAsia="Gellix" w:hAnsi="Gellix" w:cs="Gellix"/>
        </w:rPr>
        <w:t xml:space="preserve">on how </w:t>
      </w:r>
      <w:r w:rsidR="00A26131" w:rsidRPr="00BE1B18">
        <w:rPr>
          <w:rFonts w:ascii="Gellix" w:eastAsia="Gellix" w:hAnsi="Gellix" w:cs="Gellix"/>
        </w:rPr>
        <w:t xml:space="preserve">to comply with </w:t>
      </w:r>
      <w:r w:rsidR="0076502B" w:rsidRPr="00BE1B18">
        <w:rPr>
          <w:rFonts w:ascii="Gellix" w:eastAsia="Gellix" w:hAnsi="Gellix" w:cs="Gellix"/>
        </w:rPr>
        <w:t>growing regulatory development</w:t>
      </w:r>
      <w:r w:rsidR="00EB2BB5">
        <w:rPr>
          <w:rFonts w:ascii="Gellix" w:eastAsia="Gellix" w:hAnsi="Gellix" w:cs="Gellix"/>
        </w:rPr>
        <w:t>s</w:t>
      </w:r>
      <w:r w:rsidRPr="00F12A8F">
        <w:rPr>
          <w:rFonts w:ascii="Gellix" w:eastAsia="Gellix" w:hAnsi="Gellix" w:cs="Gellix"/>
        </w:rPr>
        <w:t>. These kinds of guides/practical information are best developed through community-driven initiatives that can develop resources (e.g. specific use case guidance, open</w:t>
      </w:r>
      <w:r w:rsidR="000B5402" w:rsidRPr="00F12A8F">
        <w:rPr>
          <w:rFonts w:ascii="Gellix" w:eastAsia="Gellix" w:hAnsi="Gellix" w:cs="Gellix"/>
        </w:rPr>
        <w:t>-</w:t>
      </w:r>
      <w:r w:rsidRPr="00F12A8F">
        <w:rPr>
          <w:rFonts w:ascii="Gellix" w:eastAsia="Gellix" w:hAnsi="Gellix" w:cs="Gellix"/>
        </w:rPr>
        <w:t xml:space="preserve">source tools) outside of the more formal process used to determine where/how stakeholders can agree to requirements in standards.     </w:t>
      </w:r>
    </w:p>
    <w:p w14:paraId="015E090C" w14:textId="7CE76A1D" w:rsidR="00797C6E" w:rsidRPr="00BE1B18" w:rsidRDefault="00DB7D2C" w:rsidP="00BE1B18">
      <w:pPr>
        <w:rPr>
          <w:rFonts w:ascii="Gellix" w:eastAsia="Gellix" w:hAnsi="Gellix" w:cs="Gellix"/>
        </w:rPr>
      </w:pPr>
      <w:r w:rsidRPr="00BE1B18">
        <w:rPr>
          <w:rFonts w:ascii="Gellix" w:eastAsia="Gellix" w:hAnsi="Gellix" w:cs="Gellix"/>
        </w:rPr>
        <w:t>International s</w:t>
      </w:r>
      <w:r w:rsidR="007A66B3" w:rsidRPr="00BE1B18">
        <w:rPr>
          <w:rFonts w:ascii="Gellix" w:eastAsia="Gellix" w:hAnsi="Gellix" w:cs="Gellix"/>
        </w:rPr>
        <w:t>tandards can significantly lower barriers to entry for small and medium-sized enterprises (SMEs) by providing</w:t>
      </w:r>
      <w:r w:rsidR="00F45F08" w:rsidRPr="00BE1B18">
        <w:rPr>
          <w:rFonts w:ascii="Gellix" w:eastAsia="Gellix" w:hAnsi="Gellix" w:cs="Gellix"/>
        </w:rPr>
        <w:t xml:space="preserve"> scalable solutions for both customer assurance</w:t>
      </w:r>
      <w:r w:rsidR="007A66B3" w:rsidRPr="00BE1B18">
        <w:rPr>
          <w:rFonts w:ascii="Gellix" w:eastAsia="Gellix" w:hAnsi="Gellix" w:cs="Gellix"/>
        </w:rPr>
        <w:t xml:space="preserve"> and regulatory compliance. </w:t>
      </w:r>
    </w:p>
    <w:p w14:paraId="32E0121F" w14:textId="77777777" w:rsidR="00797C6E" w:rsidRDefault="00797C6E" w:rsidP="00FB0CD2">
      <w:pPr>
        <w:rPr>
          <w:rFonts w:ascii="Gellix" w:eastAsia="Gellix" w:hAnsi="Gellix" w:cs="Gellix"/>
        </w:rPr>
      </w:pPr>
    </w:p>
    <w:p w14:paraId="5AA84E8B" w14:textId="1FE61571" w:rsidR="00F12A8F" w:rsidRPr="00761654" w:rsidRDefault="00000000" w:rsidP="00C33271">
      <w:pPr>
        <w:pStyle w:val="ListParagraph"/>
        <w:numPr>
          <w:ilvl w:val="0"/>
          <w:numId w:val="6"/>
        </w:numPr>
      </w:pPr>
      <w:sdt>
        <w:sdtPr>
          <w:tag w:val="goog_rdk_5"/>
          <w:id w:val="-1820725831"/>
        </w:sdtPr>
        <w:sdtContent>
          <w:sdt>
            <w:sdtPr>
              <w:tag w:val="goog_rdk_4"/>
              <w:id w:val="1043557519"/>
            </w:sdtPr>
            <w:sdtContent>
              <w:sdt>
                <w:sdtPr>
                  <w:tag w:val="goog_rdk_5"/>
                  <w:id w:val="2024973018"/>
                </w:sdtPr>
                <w:sdtContent>
                  <w:sdt>
                    <w:sdtPr>
                      <w:tag w:val="goog_rdk_4"/>
                      <w:id w:val="-305244722"/>
                    </w:sdtPr>
                    <w:sdtContent>
                      <w:r w:rsidR="00D96F8A" w:rsidRPr="00BE1B18">
                        <w:rPr>
                          <w:rFonts w:ascii="Gellix" w:hAnsi="Gellix"/>
                          <w:b/>
                          <w:bCs/>
                        </w:rPr>
                        <w:t xml:space="preserve">The current standards landscape </w:t>
                      </w:r>
                    </w:sdtContent>
                  </w:sdt>
                </w:sdtContent>
              </w:sdt>
              <w:r w:rsidR="00DA17B6" w:rsidRPr="00BE1B18">
                <w:rPr>
                  <w:rFonts w:ascii="Gellix" w:hAnsi="Gellix"/>
                  <w:b/>
                  <w:bCs/>
                </w:rPr>
                <w:t xml:space="preserve"> </w:t>
              </w:r>
            </w:sdtContent>
          </w:sdt>
        </w:sdtContent>
      </w:sdt>
    </w:p>
    <w:p w14:paraId="1B2C8327" w14:textId="77777777" w:rsidR="00F12A8F" w:rsidRDefault="00F12A8F" w:rsidP="00FB0CD2">
      <w:pPr>
        <w:rPr>
          <w:rFonts w:ascii="Gellix" w:eastAsia="Gellix" w:hAnsi="Gellix" w:cs="Gellix"/>
        </w:rPr>
      </w:pPr>
    </w:p>
    <w:p w14:paraId="709065AD" w14:textId="223B17EB" w:rsidR="00F12A8F" w:rsidRDefault="00F12A8F" w:rsidP="00FB0CD2">
      <w:pPr>
        <w:rPr>
          <w:rFonts w:ascii="Gellix" w:eastAsia="Gellix" w:hAnsi="Gellix" w:cs="Gellix"/>
          <w:bCs/>
        </w:rPr>
      </w:pPr>
      <w:r w:rsidRPr="00A33FD4">
        <w:rPr>
          <w:rFonts w:ascii="Gellix" w:eastAsia="Gellix" w:hAnsi="Gellix" w:cs="Gellix"/>
          <w:bCs/>
        </w:rPr>
        <w:t>Worldwide, there are hundreds of private</w:t>
      </w:r>
      <w:r w:rsidR="0076047D">
        <w:rPr>
          <w:rFonts w:ascii="Gellix" w:eastAsia="Gellix" w:hAnsi="Gellix" w:cs="Gellix"/>
          <w:bCs/>
        </w:rPr>
        <w:t xml:space="preserve"> </w:t>
      </w:r>
      <w:r w:rsidRPr="00A33FD4">
        <w:rPr>
          <w:rFonts w:ascii="Gellix" w:eastAsia="Gellix" w:hAnsi="Gellix" w:cs="Gellix"/>
          <w:bCs/>
        </w:rPr>
        <w:t xml:space="preserve">organizations developing IT standards. Among those, there are a relatively small number of organizations developing AI standards. </w:t>
      </w:r>
      <w:r w:rsidR="00250CD4" w:rsidRPr="00BE1B18">
        <w:rPr>
          <w:rFonts w:ascii="Gellix" w:eastAsia="Gellix" w:hAnsi="Gellix" w:cs="Gellix"/>
          <w:bCs/>
        </w:rPr>
        <w:t>These speciali</w:t>
      </w:r>
      <w:r w:rsidR="00F425EF">
        <w:rPr>
          <w:rFonts w:ascii="Gellix" w:eastAsia="Gellix" w:hAnsi="Gellix" w:cs="Gellix"/>
          <w:bCs/>
        </w:rPr>
        <w:t>s</w:t>
      </w:r>
      <w:r w:rsidR="00250CD4" w:rsidRPr="00BE1B18">
        <w:rPr>
          <w:rFonts w:ascii="Gellix" w:eastAsia="Gellix" w:hAnsi="Gellix" w:cs="Gellix"/>
          <w:bCs/>
        </w:rPr>
        <w:t xml:space="preserve">ed </w:t>
      </w:r>
      <w:r w:rsidR="00944047">
        <w:rPr>
          <w:rFonts w:ascii="Gellix" w:eastAsia="Gellix" w:hAnsi="Gellix" w:cs="Gellix"/>
          <w:bCs/>
        </w:rPr>
        <w:t xml:space="preserve">bodies </w:t>
      </w:r>
      <w:r w:rsidR="00250CD4" w:rsidRPr="00BE1B18">
        <w:rPr>
          <w:rFonts w:ascii="Gellix" w:eastAsia="Gellix" w:hAnsi="Gellix" w:cs="Gellix"/>
          <w:bCs/>
        </w:rPr>
        <w:t xml:space="preserve">are pivotal in addressing the unique challenges posed by AI technologies, including </w:t>
      </w:r>
      <w:r w:rsidR="00511EED">
        <w:rPr>
          <w:rFonts w:ascii="Gellix" w:eastAsia="Gellix" w:hAnsi="Gellix" w:cs="Gellix"/>
          <w:bCs/>
        </w:rPr>
        <w:t xml:space="preserve">digital content </w:t>
      </w:r>
      <w:r w:rsidR="00250CD4" w:rsidRPr="00BE1B18">
        <w:rPr>
          <w:rFonts w:ascii="Gellix" w:eastAsia="Gellix" w:hAnsi="Gellix" w:cs="Gellix"/>
          <w:bCs/>
        </w:rPr>
        <w:t xml:space="preserve">transparency, </w:t>
      </w:r>
      <w:r w:rsidR="00944047">
        <w:rPr>
          <w:rFonts w:ascii="Gellix" w:eastAsia="Gellix" w:hAnsi="Gellix" w:cs="Gellix"/>
          <w:bCs/>
        </w:rPr>
        <w:t xml:space="preserve">security, </w:t>
      </w:r>
      <w:r w:rsidR="00250CD4" w:rsidRPr="00BE1B18">
        <w:rPr>
          <w:rFonts w:ascii="Gellix" w:eastAsia="Gellix" w:hAnsi="Gellix" w:cs="Gellix"/>
          <w:bCs/>
        </w:rPr>
        <w:t>fairness, and accountability</w:t>
      </w:r>
      <w:r w:rsidR="00250CD4">
        <w:rPr>
          <w:rFonts w:ascii="Gellix" w:eastAsia="Gellix" w:hAnsi="Gellix" w:cs="Gellix"/>
          <w:bCs/>
        </w:rPr>
        <w:t xml:space="preserve">. </w:t>
      </w:r>
      <w:r w:rsidRPr="00A33FD4">
        <w:rPr>
          <w:rFonts w:ascii="Gellix" w:eastAsia="Gellix" w:hAnsi="Gellix" w:cs="Gellix"/>
          <w:bCs/>
        </w:rPr>
        <w:t xml:space="preserve">Most of these organizations have many standards projects under development. </w:t>
      </w:r>
    </w:p>
    <w:p w14:paraId="00F22EED" w14:textId="77777777" w:rsidR="00A33FD4" w:rsidRPr="00A33FD4" w:rsidRDefault="00A33FD4" w:rsidP="00FB0CD2">
      <w:pPr>
        <w:rPr>
          <w:rFonts w:ascii="Gellix" w:eastAsia="Gellix" w:hAnsi="Gellix" w:cs="Gellix"/>
          <w:bCs/>
        </w:rPr>
      </w:pPr>
    </w:p>
    <w:p w14:paraId="6E999522" w14:textId="54D63E7E" w:rsidR="00F12A8F" w:rsidRDefault="00A33597" w:rsidP="00FB0CD2">
      <w:pPr>
        <w:rPr>
          <w:rFonts w:ascii="Gellix" w:eastAsia="Gellix" w:hAnsi="Gellix" w:cs="Gellix"/>
          <w:bCs/>
        </w:rPr>
      </w:pPr>
      <w:r w:rsidRPr="00A33597">
        <w:rPr>
          <w:rFonts w:ascii="Gellix" w:eastAsia="Gellix" w:hAnsi="Gellix" w:cs="Gellix"/>
          <w:bCs/>
        </w:rPr>
        <w:t xml:space="preserve">The rapid pace of AI development demands agile and adaptable standards that can keep up with evolving technologies. </w:t>
      </w:r>
      <w:r w:rsidR="00F12A8F" w:rsidRPr="00A33FD4">
        <w:rPr>
          <w:rFonts w:ascii="Gellix" w:eastAsia="Gellix" w:hAnsi="Gellix" w:cs="Gellix"/>
          <w:bCs/>
        </w:rPr>
        <w:t xml:space="preserve">Standards development may be anticipatory or reactionary (or somewhere in between) with respect to products and services entering the marketplace. One of the strengths of the AI standards-setting ‘system’ has been its ability to act upon global recognition of the need for interoperable standards. </w:t>
      </w:r>
      <w:r w:rsidR="00847A4B" w:rsidRPr="00847A4B">
        <w:t xml:space="preserve"> </w:t>
      </w:r>
    </w:p>
    <w:p w14:paraId="7E0CE7AB" w14:textId="77777777" w:rsidR="00A33FD4" w:rsidRPr="00A33FD4" w:rsidRDefault="00A33FD4" w:rsidP="00FB0CD2">
      <w:pPr>
        <w:rPr>
          <w:rFonts w:ascii="Gellix" w:eastAsia="Gellix" w:hAnsi="Gellix" w:cs="Gellix"/>
          <w:bCs/>
        </w:rPr>
      </w:pPr>
    </w:p>
    <w:p w14:paraId="14FB19CA" w14:textId="77777777" w:rsidR="00F12A8F" w:rsidRDefault="00F12A8F" w:rsidP="00FB0CD2">
      <w:pPr>
        <w:rPr>
          <w:rFonts w:ascii="Gellix" w:eastAsia="Gellix" w:hAnsi="Gellix" w:cs="Gellix"/>
          <w:bCs/>
        </w:rPr>
      </w:pPr>
      <w:r w:rsidRPr="00A33FD4">
        <w:rPr>
          <w:rFonts w:ascii="Gellix" w:eastAsia="Gellix" w:hAnsi="Gellix" w:cs="Gellix"/>
          <w:bCs/>
        </w:rPr>
        <w:t>In fact, AI-specific standards started well over five years ago, and the development of AI standards is progressing rapidly across a range of national, regional, and international bodies. Many initiatives emphasize transparency, fairness, safety, and accountability in AI systems, helping to align efforts toward trustworthy AI.</w:t>
      </w:r>
    </w:p>
    <w:p w14:paraId="0CDB31E7" w14:textId="77777777" w:rsidR="00A33FD4" w:rsidRPr="00A33FD4" w:rsidRDefault="00A33FD4" w:rsidP="00FB0CD2">
      <w:pPr>
        <w:rPr>
          <w:rFonts w:ascii="Gellix" w:eastAsia="Gellix" w:hAnsi="Gellix" w:cs="Gellix"/>
          <w:bCs/>
        </w:rPr>
      </w:pPr>
    </w:p>
    <w:p w14:paraId="0019052C" w14:textId="716C6731" w:rsidR="00F12A8F" w:rsidRPr="00A33FD4" w:rsidRDefault="00F12A8F" w:rsidP="00FB0CD2">
      <w:pPr>
        <w:rPr>
          <w:rFonts w:ascii="Gellix" w:eastAsia="Gellix" w:hAnsi="Gellix" w:cs="Gellix"/>
          <w:bCs/>
        </w:rPr>
      </w:pPr>
      <w:r w:rsidRPr="00A33FD4">
        <w:rPr>
          <w:rFonts w:ascii="Gellix" w:eastAsia="Gellix" w:hAnsi="Gellix" w:cs="Gellix"/>
          <w:bCs/>
        </w:rPr>
        <w:t xml:space="preserve">Globally, various organisations, including the ISO, IEC, IEEE, </w:t>
      </w:r>
      <w:r w:rsidR="00CF7C79">
        <w:rPr>
          <w:rFonts w:ascii="Gellix" w:eastAsia="Gellix" w:hAnsi="Gellix" w:cs="Gellix"/>
          <w:bCs/>
        </w:rPr>
        <w:t xml:space="preserve">ITU, CEN/CENELEC, ETSI </w:t>
      </w:r>
      <w:r w:rsidRPr="00A33FD4">
        <w:rPr>
          <w:rFonts w:ascii="Gellix" w:eastAsia="Gellix" w:hAnsi="Gellix" w:cs="Gellix"/>
          <w:bCs/>
        </w:rPr>
        <w:t xml:space="preserve">and other smaller industry-led consortia (e.g. Coalition for Content Provenance and </w:t>
      </w:r>
      <w:r w:rsidR="001E6E69">
        <w:rPr>
          <w:rFonts w:ascii="Gellix" w:eastAsia="Gellix" w:hAnsi="Gellix" w:cs="Gellix"/>
          <w:bCs/>
        </w:rPr>
        <w:t>A</w:t>
      </w:r>
      <w:r w:rsidRPr="00A33FD4">
        <w:rPr>
          <w:rFonts w:ascii="Gellix" w:eastAsia="Gellix" w:hAnsi="Gellix" w:cs="Gellix"/>
          <w:bCs/>
        </w:rPr>
        <w:t xml:space="preserve">uthenticity (C2PA)), are actively working on standards to guide the responsible development and deployment of AI. </w:t>
      </w:r>
    </w:p>
    <w:p w14:paraId="49042264" w14:textId="77777777" w:rsidR="00CF7C79" w:rsidRPr="00A33FD4" w:rsidRDefault="00CF7C79" w:rsidP="00FB0CD2">
      <w:pPr>
        <w:rPr>
          <w:rFonts w:ascii="Gellix" w:eastAsia="Gellix" w:hAnsi="Gellix" w:cs="Gellix"/>
          <w:bCs/>
        </w:rPr>
      </w:pPr>
    </w:p>
    <w:p w14:paraId="5AE81198" w14:textId="7996245E" w:rsidR="00F12A8F" w:rsidRDefault="00F12A8F" w:rsidP="00FB0CD2">
      <w:pPr>
        <w:rPr>
          <w:rFonts w:ascii="Gellix" w:eastAsia="Gellix" w:hAnsi="Gellix" w:cs="Gellix"/>
          <w:bCs/>
        </w:rPr>
      </w:pPr>
      <w:r w:rsidRPr="00A33FD4">
        <w:rPr>
          <w:rFonts w:ascii="Gellix" w:eastAsia="Gellix" w:hAnsi="Gellix" w:cs="Gellix"/>
          <w:bCs/>
        </w:rPr>
        <w:t xml:space="preserve">In Europe, CEN and the CENELEC are playing a crucial role in aligning AI standards with the EU AI Act. In May 2023, the European Commission tasked the CEN and CENELEC to develop standards for the Act’s high-risk provisions. The EU AI Act requires high-risk AI system providers to implement quality and risk management systems even after a </w:t>
      </w:r>
      <w:r w:rsidRPr="00A33FD4">
        <w:rPr>
          <w:rFonts w:ascii="Gellix" w:eastAsia="Gellix" w:hAnsi="Gellix" w:cs="Gellix"/>
          <w:bCs/>
        </w:rPr>
        <w:lastRenderedPageBreak/>
        <w:t xml:space="preserve">product is placed on the market. Harmonised European standards will provide a path to meet these requirements. </w:t>
      </w:r>
    </w:p>
    <w:p w14:paraId="64F0CF2B" w14:textId="77777777" w:rsidR="00F076C0" w:rsidRDefault="00F076C0" w:rsidP="00BE1B18">
      <w:pPr>
        <w:rPr>
          <w:rFonts w:ascii="Gellix" w:eastAsia="Gellix" w:hAnsi="Gellix" w:cs="Gellix"/>
          <w:bCs/>
        </w:rPr>
      </w:pPr>
    </w:p>
    <w:p w14:paraId="46814BEA" w14:textId="1C7A8706" w:rsidR="00797C6E" w:rsidRDefault="00F12A8F" w:rsidP="00FB0CD2">
      <w:pPr>
        <w:rPr>
          <w:rFonts w:ascii="Gellix" w:eastAsia="Gellix" w:hAnsi="Gellix" w:cs="Gellix"/>
          <w:color w:val="000000"/>
        </w:rPr>
      </w:pPr>
      <w:r w:rsidRPr="00A33FD4">
        <w:rPr>
          <w:rFonts w:ascii="Gellix" w:eastAsia="Gellix" w:hAnsi="Gellix" w:cs="Gellix"/>
          <w:bCs/>
        </w:rPr>
        <w:t xml:space="preserve">Additionally, intergovernmental initiatives such as those led by the OECD, UNESCO, or the Council of Europe are contributing to the conversation by establishing terminology and principles that contribute to the development of technical and regulatory standards. </w:t>
      </w:r>
      <w:r w:rsidR="00942579">
        <w:rPr>
          <w:rFonts w:ascii="Gellix" w:eastAsia="Gellix" w:hAnsi="Gellix" w:cs="Gellix"/>
        </w:rPr>
        <w:t>I</w:t>
      </w:r>
      <w:r w:rsidR="7367B736" w:rsidRPr="3C0B528B">
        <w:rPr>
          <w:rFonts w:ascii="Gellix" w:eastAsia="Gellix" w:hAnsi="Gellix" w:cs="Gellix"/>
        </w:rPr>
        <w:t>ndustry-driven standards</w:t>
      </w:r>
      <w:r w:rsidR="0081357E">
        <w:rPr>
          <w:rFonts w:ascii="Gellix" w:eastAsia="Gellix" w:hAnsi="Gellix" w:cs="Gellix"/>
        </w:rPr>
        <w:t>, which</w:t>
      </w:r>
      <w:r w:rsidR="0081357E" w:rsidRPr="0081357E">
        <w:rPr>
          <w:rFonts w:ascii="Gellix" w:eastAsia="Gellix" w:hAnsi="Gellix" w:cs="Gellix"/>
        </w:rPr>
        <w:t xml:space="preserve"> play a vital role in translating high-level principles </w:t>
      </w:r>
      <w:r w:rsidR="009A6D01">
        <w:rPr>
          <w:rFonts w:ascii="Gellix" w:eastAsia="Gellix" w:hAnsi="Gellix" w:cs="Gellix"/>
        </w:rPr>
        <w:t xml:space="preserve">and initiatives </w:t>
      </w:r>
      <w:r w:rsidR="0081357E" w:rsidRPr="0081357E">
        <w:rPr>
          <w:rFonts w:ascii="Gellix" w:eastAsia="Gellix" w:hAnsi="Gellix" w:cs="Gellix"/>
        </w:rPr>
        <w:t>into practical, interoperable solutions</w:t>
      </w:r>
      <w:r w:rsidR="00942579">
        <w:rPr>
          <w:rFonts w:ascii="Gellix" w:eastAsia="Gellix" w:hAnsi="Gellix" w:cs="Gellix"/>
        </w:rPr>
        <w:t xml:space="preserve">, providing </w:t>
      </w:r>
      <w:r w:rsidR="00942579">
        <w:rPr>
          <w:rFonts w:ascii="Gellix" w:eastAsia="Gellix" w:hAnsi="Gellix" w:cs="Gellix"/>
          <w:color w:val="000000"/>
        </w:rPr>
        <w:t>guidance on AI governance, risk management, and security considerations.</w:t>
      </w:r>
    </w:p>
    <w:p w14:paraId="62F67DB0" w14:textId="77777777" w:rsidR="00CC7A64" w:rsidRDefault="00CC7A64" w:rsidP="00FB0CD2">
      <w:pPr>
        <w:rPr>
          <w:rFonts w:ascii="Gellix" w:eastAsia="Gellix" w:hAnsi="Gellix" w:cs="Gellix"/>
        </w:rPr>
      </w:pPr>
    </w:p>
    <w:p w14:paraId="3B20D8E2" w14:textId="77777777" w:rsidR="008F5B16" w:rsidRPr="00BE1B18" w:rsidRDefault="00B20B85" w:rsidP="00FB0CD2">
      <w:pPr>
        <w:rPr>
          <w:rFonts w:ascii="Gellix" w:eastAsia="Gellix" w:hAnsi="Gellix" w:cs="Gellix"/>
          <w:b/>
        </w:rPr>
      </w:pPr>
      <w:r w:rsidRPr="00BE1B18">
        <w:rPr>
          <w:rFonts w:ascii="Gellix" w:eastAsia="Gellix" w:hAnsi="Gellix" w:cs="Gellix"/>
          <w:b/>
        </w:rPr>
        <w:t>Government</w:t>
      </w:r>
      <w:r w:rsidR="008F5B16" w:rsidRPr="00BE1B18">
        <w:rPr>
          <w:rFonts w:ascii="Gellix" w:eastAsia="Gellix" w:hAnsi="Gellix" w:cs="Gellix"/>
          <w:b/>
        </w:rPr>
        <w:t xml:space="preserve"> activities in AI standards development</w:t>
      </w:r>
    </w:p>
    <w:p w14:paraId="3C72956C" w14:textId="036BD57A" w:rsidR="00797C6E" w:rsidRDefault="00275903" w:rsidP="00FB0CD2">
      <w:pPr>
        <w:rPr>
          <w:rFonts w:ascii="Gellix" w:eastAsia="Gellix" w:hAnsi="Gellix" w:cs="Gellix"/>
          <w:bCs/>
        </w:rPr>
      </w:pPr>
      <w:r>
        <w:rPr>
          <w:rFonts w:ascii="Gellix" w:eastAsia="Gellix" w:hAnsi="Gellix" w:cs="Gellix"/>
          <w:bCs/>
        </w:rPr>
        <w:t xml:space="preserve">Governments are engaged in developing </w:t>
      </w:r>
      <w:r w:rsidR="00F10222">
        <w:rPr>
          <w:rFonts w:ascii="Gellix" w:eastAsia="Gellix" w:hAnsi="Gellix" w:cs="Gellix"/>
          <w:bCs/>
        </w:rPr>
        <w:t>AI standards</w:t>
      </w:r>
      <w:r w:rsidR="001862AF">
        <w:rPr>
          <w:rFonts w:ascii="Gellix" w:eastAsia="Gellix" w:hAnsi="Gellix" w:cs="Gellix"/>
          <w:bCs/>
        </w:rPr>
        <w:t xml:space="preserve"> to guide the responsible use of AI</w:t>
      </w:r>
      <w:r w:rsidR="00F10222">
        <w:rPr>
          <w:rFonts w:ascii="Gellix" w:eastAsia="Gellix" w:hAnsi="Gellix" w:cs="Gellix"/>
          <w:bCs/>
        </w:rPr>
        <w:t>.</w:t>
      </w:r>
      <w:r w:rsidR="005415D3">
        <w:rPr>
          <w:rFonts w:ascii="Gellix" w:eastAsia="Gellix" w:hAnsi="Gellix" w:cs="Gellix"/>
          <w:bCs/>
        </w:rPr>
        <w:t xml:space="preserve"> </w:t>
      </w:r>
      <w:r w:rsidR="005415D3" w:rsidRPr="005415D3">
        <w:rPr>
          <w:rFonts w:ascii="Gellix" w:eastAsia="Gellix" w:hAnsi="Gellix" w:cs="Gellix"/>
          <w:bCs/>
        </w:rPr>
        <w:t>In the United States, NIST has been actively working also in developing standards in alignment with the Executive Orders (from the White House) as well as the laws and regulations in progress on the matter. Many of those standards are actively used in Canada and Latin America.</w:t>
      </w:r>
      <w:r w:rsidR="005415D3">
        <w:rPr>
          <w:rFonts w:ascii="Gellix" w:eastAsia="Gellix" w:hAnsi="Gellix" w:cs="Gellix"/>
          <w:bCs/>
        </w:rPr>
        <w:t xml:space="preserve"> </w:t>
      </w:r>
      <w:r w:rsidR="00281465">
        <w:rPr>
          <w:rFonts w:ascii="Gellix" w:eastAsia="Gellix" w:hAnsi="Gellix" w:cs="Gellix"/>
          <w:bCs/>
        </w:rPr>
        <w:t>At the same time, t</w:t>
      </w:r>
      <w:r w:rsidR="005415D3" w:rsidRPr="005415D3">
        <w:rPr>
          <w:rFonts w:ascii="Gellix" w:eastAsia="Gellix" w:hAnsi="Gellix" w:cs="Gellix"/>
          <w:bCs/>
        </w:rPr>
        <w:t>he EU is working on the first Code of Practice for providers of general-purpose AI models, including those considered to pose systemic risks, in anticipation of the AI Act coming into effect in August 2025 for these models.</w:t>
      </w:r>
      <w:r w:rsidR="001638B8">
        <w:rPr>
          <w:rFonts w:ascii="Gellix" w:eastAsia="Gellix" w:hAnsi="Gellix" w:cs="Gellix"/>
          <w:bCs/>
        </w:rPr>
        <w:t xml:space="preserve"> </w:t>
      </w:r>
      <w:r w:rsidR="003F6488" w:rsidRPr="003F6488">
        <w:rPr>
          <w:rFonts w:ascii="Gellix" w:eastAsia="Gellix" w:hAnsi="Gellix" w:cs="Gellix"/>
          <w:bCs/>
        </w:rPr>
        <w:t>The Code of Practice is intended to serve as a bridge ahead of the development and availability of formal standards</w:t>
      </w:r>
      <w:r w:rsidR="003F6488">
        <w:rPr>
          <w:rFonts w:ascii="Gellix" w:eastAsia="Gellix" w:hAnsi="Gellix" w:cs="Gellix"/>
          <w:bCs/>
        </w:rPr>
        <w:t>.</w:t>
      </w:r>
    </w:p>
    <w:p w14:paraId="0699E43C" w14:textId="77777777" w:rsidR="00CC7A64" w:rsidRPr="00BE1B18" w:rsidRDefault="00CC7A64" w:rsidP="00FB0CD2">
      <w:pPr>
        <w:rPr>
          <w:rFonts w:ascii="Gellix" w:eastAsia="Gellix" w:hAnsi="Gellix" w:cs="Gellix"/>
          <w:bCs/>
        </w:rPr>
      </w:pPr>
    </w:p>
    <w:p w14:paraId="584569AB" w14:textId="53A0C4FF" w:rsidR="00A64B31" w:rsidRDefault="00D96F8A" w:rsidP="00FB0CD2">
      <w:pPr>
        <w:rPr>
          <w:rFonts w:ascii="Gellix" w:eastAsia="Gellix" w:hAnsi="Gellix" w:cs="Gellix"/>
        </w:rPr>
      </w:pPr>
      <w:bookmarkStart w:id="0" w:name="_Hlk199289624"/>
      <w:r>
        <w:rPr>
          <w:rFonts w:ascii="Gellix" w:eastAsia="Gellix" w:hAnsi="Gellix" w:cs="Gellix"/>
          <w:b/>
        </w:rPr>
        <w:t>What are the benefits of standards for AI, what are the challenges, and how can these be overcome?</w:t>
      </w:r>
    </w:p>
    <w:bookmarkEnd w:id="0"/>
    <w:p w14:paraId="584569AC" w14:textId="302E3C81" w:rsidR="00A64B31" w:rsidRDefault="007F5EEC" w:rsidP="00FB0CD2">
      <w:pPr>
        <w:spacing w:before="240" w:after="240"/>
        <w:rPr>
          <w:rFonts w:ascii="Gellix" w:eastAsia="Gellix" w:hAnsi="Gellix" w:cs="Gellix"/>
        </w:rPr>
      </w:pPr>
      <w:r>
        <w:rPr>
          <w:rFonts w:ascii="Gellix" w:eastAsia="Gellix" w:hAnsi="Gellix" w:cs="Gellix"/>
          <w:lang w:val="en-US"/>
        </w:rPr>
        <w:t>International and m</w:t>
      </w:r>
      <w:r w:rsidR="00A011E8" w:rsidRPr="00A011E8">
        <w:rPr>
          <w:rFonts w:ascii="Gellix" w:eastAsia="Gellix" w:hAnsi="Gellix" w:cs="Gellix"/>
          <w:lang w:val="en-US"/>
        </w:rPr>
        <w:t>arket-driven standards</w:t>
      </w:r>
      <w:r w:rsidR="00D96F8A">
        <w:rPr>
          <w:rFonts w:ascii="Gellix" w:eastAsia="Gellix" w:hAnsi="Gellix" w:cs="Gellix"/>
        </w:rPr>
        <w:t xml:space="preserve"> can play a key role in</w:t>
      </w:r>
      <w:r w:rsidR="00D96F8A" w:rsidRPr="00174307">
        <w:rPr>
          <w:rFonts w:ascii="Gellix" w:eastAsia="Gellix" w:hAnsi="Gellix" w:cs="Gellix"/>
        </w:rPr>
        <w:t xml:space="preserve"> fostering globally interoperable AI governance and drive interoperability. This is impo</w:t>
      </w:r>
      <w:r w:rsidR="00D96F8A">
        <w:rPr>
          <w:rFonts w:ascii="Gellix" w:eastAsia="Gellix" w:hAnsi="Gellix" w:cs="Gellix"/>
        </w:rPr>
        <w:t>rtant for making it easier for organisations and companies to collaborate across borders</w:t>
      </w:r>
      <w:r w:rsidR="00BE158F" w:rsidRPr="00BE1B18">
        <w:rPr>
          <w:rFonts w:ascii="Gellix" w:eastAsia="Gellix" w:hAnsi="Gellix" w:cs="Gellix"/>
        </w:rPr>
        <w:t xml:space="preserve"> </w:t>
      </w:r>
      <w:r w:rsidR="00AA37B1">
        <w:rPr>
          <w:rFonts w:ascii="Gellix" w:eastAsia="Gellix" w:hAnsi="Gellix" w:cs="Gellix"/>
        </w:rPr>
        <w:t xml:space="preserve">by providing </w:t>
      </w:r>
      <w:r w:rsidR="0001410F">
        <w:rPr>
          <w:rFonts w:ascii="Gellix" w:eastAsia="Gellix" w:hAnsi="Gellix" w:cs="Gellix"/>
        </w:rPr>
        <w:t>ways</w:t>
      </w:r>
      <w:r w:rsidR="00AA37B1">
        <w:rPr>
          <w:rFonts w:ascii="Gellix" w:eastAsia="Gellix" w:hAnsi="Gellix" w:cs="Gellix"/>
        </w:rPr>
        <w:t xml:space="preserve"> to conform with regulatory and/or customer requirements </w:t>
      </w:r>
      <w:r w:rsidR="00C7384F" w:rsidRPr="00BE1B18">
        <w:rPr>
          <w:rFonts w:ascii="Gellix" w:eastAsia="Gellix" w:hAnsi="Gellix" w:cs="Gellix"/>
        </w:rPr>
        <w:t>at a global level</w:t>
      </w:r>
      <w:r w:rsidR="00D96F8A">
        <w:rPr>
          <w:rFonts w:ascii="Gellix" w:eastAsia="Gellix" w:hAnsi="Gellix" w:cs="Gellix"/>
        </w:rPr>
        <w:t xml:space="preserve">, access the best products and tools, and enable the benefits of AI to be spread as broadly as possible. Duplicative </w:t>
      </w:r>
      <w:r w:rsidR="00C7384F" w:rsidRPr="00BE1B18">
        <w:rPr>
          <w:rFonts w:ascii="Gellix" w:eastAsia="Gellix" w:hAnsi="Gellix" w:cs="Gellix"/>
        </w:rPr>
        <w:t>and potentially conflicting</w:t>
      </w:r>
      <w:r w:rsidR="00575F13" w:rsidRPr="00BE1B18">
        <w:rPr>
          <w:rFonts w:ascii="Gellix" w:eastAsia="Gellix" w:hAnsi="Gellix" w:cs="Gellix"/>
        </w:rPr>
        <w:t xml:space="preserve"> </w:t>
      </w:r>
      <w:r w:rsidR="00D96F8A">
        <w:rPr>
          <w:rFonts w:ascii="Gellix" w:eastAsia="Gellix" w:hAnsi="Gellix" w:cs="Gellix"/>
        </w:rPr>
        <w:t>standards and compliance schemes, however, raise the costs of doing business in an increasingly globalized world, undermining this potential for interoperability.</w:t>
      </w:r>
    </w:p>
    <w:p w14:paraId="7732D691" w14:textId="21725659" w:rsidR="00807524" w:rsidRDefault="00D96F8A" w:rsidP="00BE1B18">
      <w:pPr>
        <w:spacing w:before="240" w:after="240"/>
        <w:rPr>
          <w:rFonts w:ascii="Gellix" w:eastAsia="Gellix" w:hAnsi="Gellix" w:cs="Gellix"/>
        </w:rPr>
      </w:pPr>
      <w:r>
        <w:rPr>
          <w:rFonts w:ascii="Gellix" w:eastAsia="Gellix" w:hAnsi="Gellix" w:cs="Gellix"/>
        </w:rPr>
        <w:t>The growing development of global, regional, and national AI policies</w:t>
      </w:r>
      <w:r w:rsidR="00C7384F">
        <w:rPr>
          <w:rFonts w:ascii="Gellix" w:eastAsia="Gellix" w:hAnsi="Gellix" w:cs="Gellix"/>
        </w:rPr>
        <w:t>,</w:t>
      </w:r>
      <w:r w:rsidR="00575F13">
        <w:rPr>
          <w:rFonts w:ascii="Gellix" w:eastAsia="Gellix" w:hAnsi="Gellix" w:cs="Gellix"/>
        </w:rPr>
        <w:t xml:space="preserve"> laws</w:t>
      </w:r>
      <w:r>
        <w:rPr>
          <w:rFonts w:ascii="Gellix" w:eastAsia="Gellix" w:hAnsi="Gellix" w:cs="Gellix"/>
        </w:rPr>
        <w:t xml:space="preserve"> and </w:t>
      </w:r>
      <w:r w:rsidR="00C7384F" w:rsidRPr="00BE1B18">
        <w:rPr>
          <w:rFonts w:ascii="Gellix" w:eastAsia="Gellix" w:hAnsi="Gellix" w:cs="Gellix"/>
        </w:rPr>
        <w:t>regulations</w:t>
      </w:r>
      <w:r w:rsidR="00797C6E" w:rsidRPr="00BE1B18">
        <w:rPr>
          <w:rFonts w:ascii="Gellix" w:eastAsia="Gellix" w:hAnsi="Gellix" w:cs="Gellix"/>
        </w:rPr>
        <w:t xml:space="preserve"> </w:t>
      </w:r>
      <w:r>
        <w:rPr>
          <w:rFonts w:ascii="Gellix" w:eastAsia="Gellix" w:hAnsi="Gellix" w:cs="Gellix"/>
        </w:rPr>
        <w:t>risks creating divergent governance approaches and creating a complex regulatory landscape which hinders the potential to spread the technologies across borders. In addition, there can be inconsistencies between policies and technical standards, given that standards often emerge from the needs of technology developers and deployers and not from regulatory needs. However, more ofte</w:t>
      </w:r>
      <w:r w:rsidRPr="00174307">
        <w:rPr>
          <w:rFonts w:ascii="Gellix" w:eastAsia="Gellix" w:hAnsi="Gellix" w:cs="Gellix"/>
        </w:rPr>
        <w:t xml:space="preserve">n, standards provide a </w:t>
      </w:r>
      <w:r w:rsidRPr="00174307">
        <w:rPr>
          <w:rFonts w:ascii="Gellix" w:eastAsia="Gellix" w:hAnsi="Gellix" w:cs="Gellix"/>
          <w:bCs/>
        </w:rPr>
        <w:lastRenderedPageBreak/>
        <w:t xml:space="preserve">common approach, even where legal and regulatory approaches differ between countries and regions. </w:t>
      </w:r>
      <w:r w:rsidR="0022448E" w:rsidRPr="00174307">
        <w:rPr>
          <w:rFonts w:ascii="Gellix" w:eastAsia="Gellix" w:hAnsi="Gellix" w:cs="Gellix"/>
          <w:bCs/>
        </w:rPr>
        <w:t>In addition, they enhance trust among consumers and businesses in AI technologies.</w:t>
      </w:r>
    </w:p>
    <w:p w14:paraId="584569AD" w14:textId="69EAAEFE" w:rsidR="00A64B31" w:rsidRDefault="00D96F8A" w:rsidP="00FB0CD2">
      <w:pPr>
        <w:spacing w:before="240" w:after="240"/>
        <w:rPr>
          <w:rFonts w:ascii="Gellix" w:eastAsia="Gellix" w:hAnsi="Gellix" w:cs="Gellix"/>
        </w:rPr>
      </w:pPr>
      <w:r>
        <w:rPr>
          <w:rFonts w:ascii="Gellix" w:eastAsia="Gellix" w:hAnsi="Gellix" w:cs="Gellix"/>
        </w:rPr>
        <w:t xml:space="preserve">Referencing standards in regulations can explain how to meet the requirements of, or facilitate the implementation of a regulation, but they cannot extend regulation. Said another way, they are not a substitute for the role of governments. One way to address these issues is therefore for policymakers to consider referring to </w:t>
      </w:r>
      <w:r w:rsidR="00A011E8" w:rsidRPr="00A011E8">
        <w:rPr>
          <w:rFonts w:ascii="Gellix" w:eastAsia="Gellix" w:hAnsi="Gellix" w:cs="Gellix"/>
          <w:lang w:val="en-US"/>
        </w:rPr>
        <w:t>market-driven standards</w:t>
      </w:r>
      <w:r>
        <w:rPr>
          <w:rFonts w:ascii="Gellix" w:eastAsia="Gellix" w:hAnsi="Gellix" w:cs="Gellix"/>
        </w:rPr>
        <w:t xml:space="preserve"> when designing laws and drafting regulations, or allow for conformance with a standard to be considered sufficient for meeting regulatory requirements. Standards can thus support regulation and </w:t>
      </w:r>
      <w:r w:rsidR="00BE158F">
        <w:rPr>
          <w:rFonts w:ascii="Gellix" w:eastAsia="Gellix" w:hAnsi="Gellix" w:cs="Gellix"/>
        </w:rPr>
        <w:t>policymakers</w:t>
      </w:r>
      <w:r>
        <w:rPr>
          <w:rFonts w:ascii="Gellix" w:eastAsia="Gellix" w:hAnsi="Gellix" w:cs="Gellix"/>
        </w:rPr>
        <w:t xml:space="preserve"> can benefit from taking them into account</w:t>
      </w:r>
      <w:r w:rsidR="002C72EC">
        <w:rPr>
          <w:rFonts w:ascii="Gellix" w:eastAsia="Gellix" w:hAnsi="Gellix" w:cs="Gellix"/>
        </w:rPr>
        <w:t>.</w:t>
      </w:r>
    </w:p>
    <w:p w14:paraId="584569AE" w14:textId="7592344B" w:rsidR="00A64B31" w:rsidRDefault="00D96F8A" w:rsidP="00FB0CD2">
      <w:pPr>
        <w:spacing w:before="240" w:after="240"/>
        <w:rPr>
          <w:rFonts w:ascii="Gellix" w:eastAsia="Gellix" w:hAnsi="Gellix" w:cs="Gellix"/>
        </w:rPr>
      </w:pPr>
      <w:r>
        <w:rPr>
          <w:rFonts w:ascii="Gellix" w:eastAsia="Gellix" w:hAnsi="Gellix" w:cs="Gellix"/>
        </w:rPr>
        <w:t xml:space="preserve">Relatedly, the </w:t>
      </w:r>
      <w:hyperlink r:id="rId15">
        <w:r w:rsidR="00A64B31">
          <w:rPr>
            <w:rFonts w:ascii="Gellix" w:eastAsia="Gellix" w:hAnsi="Gellix" w:cs="Gellix"/>
          </w:rPr>
          <w:t>Global Digital Compact (GDC)</w:t>
        </w:r>
      </w:hyperlink>
      <w:r w:rsidR="00330754">
        <w:rPr>
          <w:rStyle w:val="FootnoteReference"/>
        </w:rPr>
        <w:footnoteReference w:id="3"/>
      </w:r>
      <w:r>
        <w:rPr>
          <w:rFonts w:ascii="Gellix" w:eastAsia="Gellix" w:hAnsi="Gellix" w:cs="Gellix"/>
        </w:rPr>
        <w:t>, adopted in September 2024</w:t>
      </w:r>
      <w:r w:rsidR="60AD7D16" w:rsidRPr="3C0B528B">
        <w:rPr>
          <w:rFonts w:ascii="Gellix" w:eastAsia="Gellix" w:hAnsi="Gellix" w:cs="Gellix"/>
        </w:rPr>
        <w:t xml:space="preserve"> by the UN General Assembly</w:t>
      </w:r>
      <w:r>
        <w:rPr>
          <w:rFonts w:ascii="Gellix" w:eastAsia="Gellix" w:hAnsi="Gellix" w:cs="Gellix"/>
        </w:rPr>
        <w:t>, called on Standards Developing Organizations (SDOs) “to collaborate to promote the development and adoption of interoperable AI standards that uphold safety, reliability, sustainability and human rights”. Such collaboration and coordination around AI standards are important to promote interoperability and support policymakers’ use of standards.</w:t>
      </w:r>
    </w:p>
    <w:p w14:paraId="25031011" w14:textId="3F9D6075" w:rsidR="00CC7A64" w:rsidRDefault="004B4D8E" w:rsidP="008A0C30">
      <w:pPr>
        <w:spacing w:before="240" w:after="240"/>
        <w:rPr>
          <w:rFonts w:ascii="Gellix" w:eastAsia="Gellix" w:hAnsi="Gellix" w:cs="Gellix"/>
        </w:rPr>
      </w:pPr>
      <w:r>
        <w:rPr>
          <w:rFonts w:ascii="Gellix" w:eastAsia="Gellix" w:hAnsi="Gellix" w:cs="Gellix"/>
        </w:rPr>
        <w:t xml:space="preserve">In addition to </w:t>
      </w:r>
      <w:r w:rsidR="00D96F8A">
        <w:rPr>
          <w:rFonts w:ascii="Gellix" w:eastAsia="Gellix" w:hAnsi="Gellix" w:cs="Gellix"/>
        </w:rPr>
        <w:t>referencing standards</w:t>
      </w:r>
      <w:r>
        <w:rPr>
          <w:rFonts w:ascii="Gellix" w:eastAsia="Gellix" w:hAnsi="Gellix" w:cs="Gellix"/>
        </w:rPr>
        <w:t xml:space="preserve"> (</w:t>
      </w:r>
      <w:r w:rsidR="00BF0F01">
        <w:rPr>
          <w:rFonts w:ascii="Gellix" w:eastAsia="Gellix" w:hAnsi="Gellix" w:cs="Gellix"/>
        </w:rPr>
        <w:t>specifically</w:t>
      </w:r>
      <w:r>
        <w:rPr>
          <w:rFonts w:ascii="Gellix" w:eastAsia="Gellix" w:hAnsi="Gellix" w:cs="Gellix"/>
        </w:rPr>
        <w:t xml:space="preserve"> or </w:t>
      </w:r>
      <w:r w:rsidR="00BF0F01">
        <w:rPr>
          <w:rFonts w:ascii="Gellix" w:eastAsia="Gellix" w:hAnsi="Gellix" w:cs="Gellix"/>
        </w:rPr>
        <w:t>generally</w:t>
      </w:r>
      <w:r>
        <w:rPr>
          <w:rFonts w:ascii="Gellix" w:eastAsia="Gellix" w:hAnsi="Gellix" w:cs="Gellix"/>
        </w:rPr>
        <w:t>)</w:t>
      </w:r>
      <w:r w:rsidR="00D96F8A">
        <w:rPr>
          <w:rFonts w:ascii="Gellix" w:eastAsia="Gellix" w:hAnsi="Gellix" w:cs="Gellix"/>
        </w:rPr>
        <w:t xml:space="preserve"> in la</w:t>
      </w:r>
      <w:r w:rsidR="00D96F8A" w:rsidRPr="007F1308">
        <w:rPr>
          <w:rFonts w:ascii="Gellix" w:eastAsia="Gellix" w:hAnsi="Gellix" w:cs="Gellix"/>
        </w:rPr>
        <w:t>ws and regulations, it is important for standards to be incorporated into procurement processes</w:t>
      </w:r>
      <w:r w:rsidR="00485A46" w:rsidRPr="007F1308">
        <w:rPr>
          <w:rFonts w:ascii="Gellix" w:eastAsia="Gellix" w:hAnsi="Gellix" w:cs="Gellix"/>
        </w:rPr>
        <w:t xml:space="preserve"> over government-unique standards or technical requirements</w:t>
      </w:r>
      <w:r w:rsidR="00D96F8A" w:rsidRPr="007F1308">
        <w:rPr>
          <w:rFonts w:ascii="Gellix" w:eastAsia="Gellix" w:hAnsi="Gellix" w:cs="Gellix"/>
        </w:rPr>
        <w:t>. This is a tool for driving interoperability and avoiding fragmentation, as it can help guide smaller co</w:t>
      </w:r>
      <w:r w:rsidR="00D96F8A">
        <w:rPr>
          <w:rFonts w:ascii="Gellix" w:eastAsia="Gellix" w:hAnsi="Gellix" w:cs="Gellix"/>
        </w:rPr>
        <w:t>mpanies, often not involved in or aware of the standards development process, to use a common approach. As trust mechanisms, governance standards can also facilitate commercial contracting and demonstrate conformity to regulations.</w:t>
      </w:r>
    </w:p>
    <w:p w14:paraId="584569B0" w14:textId="77BDE235" w:rsidR="00A64B31" w:rsidRDefault="00D96F8A" w:rsidP="00FB0CD2">
      <w:pPr>
        <w:spacing w:before="240" w:after="240"/>
        <w:rPr>
          <w:rFonts w:ascii="Gellix" w:eastAsia="Gellix" w:hAnsi="Gellix" w:cs="Gellix"/>
          <w:b/>
        </w:rPr>
      </w:pPr>
      <w:bookmarkStart w:id="1" w:name="_Hlk199289642"/>
      <w:r>
        <w:rPr>
          <w:rFonts w:ascii="Gellix" w:eastAsia="Gellix" w:hAnsi="Gellix" w:cs="Gellix"/>
          <w:b/>
        </w:rPr>
        <w:t>Potential for Overlaps, Duplications, and Divergences</w:t>
      </w:r>
      <w:r>
        <w:t xml:space="preserve">     </w:t>
      </w:r>
    </w:p>
    <w:bookmarkEnd w:id="1"/>
    <w:p w14:paraId="584569B1" w14:textId="77777777" w:rsidR="00A64B31" w:rsidRDefault="00D96F8A" w:rsidP="00FB0CD2">
      <w:pPr>
        <w:spacing w:before="240" w:after="240"/>
        <w:rPr>
          <w:rFonts w:ascii="Gellix" w:eastAsia="Gellix" w:hAnsi="Gellix" w:cs="Gellix"/>
        </w:rPr>
      </w:pPr>
      <w:r>
        <w:rPr>
          <w:rFonts w:ascii="Gellix" w:eastAsia="Gellix" w:hAnsi="Gellix" w:cs="Gellix"/>
        </w:rPr>
        <w:t>There are several factors that may result in overlaps/duplications or divergences in AI standards:</w:t>
      </w:r>
    </w:p>
    <w:p w14:paraId="584569B2" w14:textId="03866195" w:rsidR="00A64B31" w:rsidRDefault="00D96F8A" w:rsidP="00FB0CD2">
      <w:pPr>
        <w:numPr>
          <w:ilvl w:val="0"/>
          <w:numId w:val="4"/>
        </w:numPr>
        <w:rPr>
          <w:rFonts w:ascii="Gellix" w:eastAsia="Gellix" w:hAnsi="Gellix" w:cs="Gellix"/>
        </w:rPr>
      </w:pPr>
      <w:r>
        <w:rPr>
          <w:rFonts w:ascii="Gellix" w:eastAsia="Gellix" w:hAnsi="Gellix" w:cs="Gellix"/>
        </w:rPr>
        <w:t>Overlaps and Duplications:</w:t>
      </w:r>
    </w:p>
    <w:p w14:paraId="584569B3" w14:textId="38C5C8A8" w:rsidR="00A64B31" w:rsidRDefault="00D96F8A" w:rsidP="00FB0CD2">
      <w:pPr>
        <w:numPr>
          <w:ilvl w:val="0"/>
          <w:numId w:val="2"/>
        </w:numPr>
        <w:pBdr>
          <w:top w:val="nil"/>
          <w:left w:val="nil"/>
          <w:bottom w:val="nil"/>
          <w:right w:val="nil"/>
          <w:between w:val="nil"/>
        </w:pBdr>
        <w:rPr>
          <w:color w:val="000000"/>
        </w:rPr>
      </w:pPr>
      <w:r>
        <w:rPr>
          <w:rFonts w:ascii="Gellix" w:eastAsia="Gellix" w:hAnsi="Gellix" w:cs="Gellix"/>
          <w:color w:val="000000"/>
        </w:rPr>
        <w:t xml:space="preserve">While international bodies like ISO and IEC are developing </w:t>
      </w:r>
      <w:r w:rsidR="000F23F3">
        <w:rPr>
          <w:rFonts w:ascii="Gellix" w:eastAsia="Gellix" w:hAnsi="Gellix" w:cs="Gellix"/>
          <w:color w:val="000000"/>
        </w:rPr>
        <w:t xml:space="preserve">foundational/horizontal </w:t>
      </w:r>
      <w:r>
        <w:rPr>
          <w:rFonts w:ascii="Gellix" w:eastAsia="Gellix" w:hAnsi="Gellix" w:cs="Gellix"/>
          <w:color w:val="000000"/>
        </w:rPr>
        <w:t xml:space="preserve">AI </w:t>
      </w:r>
      <w:r w:rsidR="00002F09">
        <w:rPr>
          <w:rFonts w:ascii="Gellix" w:eastAsia="Gellix" w:hAnsi="Gellix" w:cs="Gellix"/>
          <w:color w:val="000000"/>
        </w:rPr>
        <w:t xml:space="preserve">standards </w:t>
      </w:r>
      <w:r w:rsidR="00F821FD">
        <w:rPr>
          <w:rFonts w:ascii="Gellix" w:eastAsia="Gellix" w:hAnsi="Gellix" w:cs="Gellix"/>
          <w:color w:val="000000"/>
        </w:rPr>
        <w:t>that align with regulation</w:t>
      </w:r>
      <w:r w:rsidR="00060CC9">
        <w:rPr>
          <w:rFonts w:ascii="Gellix" w:eastAsia="Gellix" w:hAnsi="Gellix" w:cs="Gellix"/>
          <w:color w:val="000000"/>
        </w:rPr>
        <w:t xml:space="preserve"> at a high level (e.g. ISO/IEC</w:t>
      </w:r>
      <w:r w:rsidR="00A41A4F">
        <w:rPr>
          <w:rFonts w:ascii="Gellix" w:eastAsia="Gellix" w:hAnsi="Gellix" w:cs="Gellix"/>
          <w:color w:val="000000"/>
        </w:rPr>
        <w:t xml:space="preserve"> </w:t>
      </w:r>
      <w:r w:rsidR="00CF6819" w:rsidRPr="00CF6819">
        <w:rPr>
          <w:rFonts w:ascii="Gellix" w:eastAsia="Gellix" w:hAnsi="Gellix" w:cs="Gellix"/>
          <w:color w:val="000000"/>
        </w:rPr>
        <w:t>42001, 23894, and 42005</w:t>
      </w:r>
      <w:r w:rsidR="00002F09">
        <w:rPr>
          <w:rFonts w:ascii="Gellix" w:eastAsia="Gellix" w:hAnsi="Gellix" w:cs="Gellix"/>
          <w:color w:val="000000"/>
        </w:rPr>
        <w:t xml:space="preserve">) </w:t>
      </w:r>
      <w:r w:rsidR="000F23F3">
        <w:rPr>
          <w:rFonts w:ascii="Gellix" w:eastAsia="Gellix" w:hAnsi="Gellix" w:cs="Gellix"/>
          <w:color w:val="000000"/>
        </w:rPr>
        <w:t>(</w:t>
      </w:r>
      <w:r w:rsidR="00CF6819" w:rsidRPr="00CF6819">
        <w:rPr>
          <w:rFonts w:ascii="Gellix" w:eastAsia="Gellix" w:hAnsi="Gellix" w:cs="Gellix"/>
          <w:color w:val="000000"/>
        </w:rPr>
        <w:t xml:space="preserve">while </w:t>
      </w:r>
      <w:r w:rsidR="000F23F3">
        <w:rPr>
          <w:rFonts w:ascii="Gellix" w:eastAsia="Gellix" w:hAnsi="Gellix" w:cs="Gellix"/>
          <w:color w:val="000000"/>
        </w:rPr>
        <w:t xml:space="preserve">remaining </w:t>
      </w:r>
      <w:r w:rsidR="00CF6819" w:rsidRPr="00CF6819">
        <w:rPr>
          <w:rFonts w:ascii="Gellix" w:eastAsia="Gellix" w:hAnsi="Gellix" w:cs="Gellix"/>
          <w:color w:val="000000"/>
        </w:rPr>
        <w:t>country/region agnostic</w:t>
      </w:r>
      <w:r w:rsidR="000F23F3">
        <w:rPr>
          <w:rFonts w:ascii="Gellix" w:eastAsia="Gellix" w:hAnsi="Gellix" w:cs="Gellix"/>
          <w:color w:val="000000"/>
        </w:rPr>
        <w:t>)</w:t>
      </w:r>
      <w:r>
        <w:rPr>
          <w:rFonts w:ascii="Gellix" w:eastAsia="Gellix" w:hAnsi="Gellix" w:cs="Gellix"/>
          <w:color w:val="000000"/>
        </w:rPr>
        <w:t xml:space="preserve">, </w:t>
      </w:r>
      <w:r w:rsidR="000F23F3">
        <w:rPr>
          <w:rFonts w:ascii="Gellix" w:eastAsia="Gellix" w:hAnsi="Gellix" w:cs="Gellix"/>
          <w:color w:val="000000"/>
        </w:rPr>
        <w:t xml:space="preserve">the </w:t>
      </w:r>
      <w:r w:rsidR="00BD6BE7">
        <w:rPr>
          <w:rFonts w:ascii="Gellix" w:eastAsia="Gellix" w:hAnsi="Gellix" w:cs="Gellix"/>
          <w:color w:val="000000"/>
        </w:rPr>
        <w:t>European Commission (</w:t>
      </w:r>
      <w:r w:rsidR="000F23F3">
        <w:rPr>
          <w:rFonts w:ascii="Gellix" w:eastAsia="Gellix" w:hAnsi="Gellix" w:cs="Gellix"/>
          <w:color w:val="000000"/>
        </w:rPr>
        <w:t>EC</w:t>
      </w:r>
      <w:r w:rsidR="00BD6BE7">
        <w:rPr>
          <w:rFonts w:ascii="Gellix" w:eastAsia="Gellix" w:hAnsi="Gellix" w:cs="Gellix"/>
          <w:color w:val="000000"/>
        </w:rPr>
        <w:t>)</w:t>
      </w:r>
      <w:r w:rsidR="000F23F3">
        <w:rPr>
          <w:rFonts w:ascii="Gellix" w:eastAsia="Gellix" w:hAnsi="Gellix" w:cs="Gellix"/>
          <w:color w:val="000000"/>
        </w:rPr>
        <w:t xml:space="preserve"> has requested that </w:t>
      </w:r>
      <w:r>
        <w:rPr>
          <w:rFonts w:ascii="Gellix" w:eastAsia="Gellix" w:hAnsi="Gellix" w:cs="Gellix"/>
          <w:color w:val="000000"/>
        </w:rPr>
        <w:t xml:space="preserve">CEN-CENELEC standards </w:t>
      </w:r>
      <w:r w:rsidR="000F23F3">
        <w:rPr>
          <w:rFonts w:ascii="Gellix" w:eastAsia="Gellix" w:hAnsi="Gellix" w:cs="Gellix"/>
          <w:color w:val="000000"/>
        </w:rPr>
        <w:t>develop  standards to carry out requirements of</w:t>
      </w:r>
      <w:r>
        <w:rPr>
          <w:rFonts w:ascii="Gellix" w:eastAsia="Gellix" w:hAnsi="Gellix" w:cs="Gellix"/>
          <w:color w:val="000000"/>
        </w:rPr>
        <w:t xml:space="preserve"> the EU AI Act, potentially fragmenting markets and/or </w:t>
      </w:r>
      <w:r>
        <w:rPr>
          <w:rFonts w:ascii="Gellix" w:eastAsia="Gellix" w:hAnsi="Gellix" w:cs="Gellix"/>
          <w:color w:val="000000"/>
        </w:rPr>
        <w:lastRenderedPageBreak/>
        <w:t>creating overlapping but slightly differing technical requirements.</w:t>
      </w:r>
      <w:r w:rsidR="00AE53D4" w:rsidRPr="00AE53D4">
        <w:rPr>
          <w:rFonts w:ascii="Gellix" w:eastAsia="Gellix" w:hAnsi="Gellix" w:cs="Gellix"/>
          <w:color w:val="0070C0"/>
        </w:rPr>
        <w:t xml:space="preserve"> </w:t>
      </w:r>
      <w:r w:rsidR="00AE53D4" w:rsidRPr="00BE1B18">
        <w:rPr>
          <w:rFonts w:ascii="Gellix" w:eastAsia="Gellix" w:hAnsi="Gellix" w:cs="Gellix"/>
          <w:color w:val="000000"/>
        </w:rPr>
        <w:t xml:space="preserve">In the case of NIST AI </w:t>
      </w:r>
      <w:r w:rsidR="000F23F3">
        <w:rPr>
          <w:rFonts w:ascii="Gellix" w:eastAsia="Gellix" w:hAnsi="Gellix" w:cs="Gellix"/>
          <w:color w:val="000000"/>
        </w:rPr>
        <w:t>documents</w:t>
      </w:r>
      <w:r w:rsidR="00AE53D4" w:rsidRPr="00BE1B18">
        <w:rPr>
          <w:rFonts w:ascii="Gellix" w:eastAsia="Gellix" w:hAnsi="Gellix" w:cs="Gellix"/>
          <w:color w:val="000000"/>
        </w:rPr>
        <w:t xml:space="preserve">, because they can arise from U.S. </w:t>
      </w:r>
      <w:r w:rsidR="000F23F3">
        <w:rPr>
          <w:rFonts w:ascii="Gellix" w:eastAsia="Gellix" w:hAnsi="Gellix" w:cs="Gellix"/>
          <w:color w:val="000000"/>
        </w:rPr>
        <w:t>E</w:t>
      </w:r>
      <w:r w:rsidR="00AE53D4" w:rsidRPr="00BE1B18">
        <w:rPr>
          <w:rFonts w:ascii="Gellix" w:eastAsia="Gellix" w:hAnsi="Gellix" w:cs="Gellix"/>
          <w:color w:val="000000"/>
        </w:rPr>
        <w:t xml:space="preserve">xecutive </w:t>
      </w:r>
      <w:r w:rsidR="000F23F3">
        <w:rPr>
          <w:rFonts w:ascii="Gellix" w:eastAsia="Gellix" w:hAnsi="Gellix" w:cs="Gellix"/>
          <w:color w:val="000000"/>
        </w:rPr>
        <w:t>O</w:t>
      </w:r>
      <w:r w:rsidR="00AE53D4" w:rsidRPr="00BE1B18">
        <w:rPr>
          <w:rFonts w:ascii="Gellix" w:eastAsia="Gellix" w:hAnsi="Gellix" w:cs="Gellix"/>
          <w:color w:val="000000"/>
        </w:rPr>
        <w:t>rder</w:t>
      </w:r>
      <w:r w:rsidR="000F23F3">
        <w:rPr>
          <w:rFonts w:ascii="Gellix" w:eastAsia="Gellix" w:hAnsi="Gellix" w:cs="Gellix"/>
          <w:color w:val="000000"/>
        </w:rPr>
        <w:t>s</w:t>
      </w:r>
      <w:r w:rsidR="00AE53D4" w:rsidRPr="00BE1B18">
        <w:rPr>
          <w:rFonts w:ascii="Gellix" w:eastAsia="Gellix" w:hAnsi="Gellix" w:cs="Gellix"/>
          <w:color w:val="000000"/>
        </w:rPr>
        <w:t xml:space="preserve"> and/or U.S. laws and regulations</w:t>
      </w:r>
      <w:r w:rsidR="000F23F3">
        <w:rPr>
          <w:rFonts w:ascii="Gellix" w:eastAsia="Gellix" w:hAnsi="Gellix" w:cs="Gellix"/>
          <w:color w:val="000000"/>
        </w:rPr>
        <w:t>,</w:t>
      </w:r>
      <w:r w:rsidR="00AE53D4" w:rsidRPr="00BE1B18">
        <w:rPr>
          <w:rFonts w:ascii="Gellix" w:eastAsia="Gellix" w:hAnsi="Gellix" w:cs="Gellix"/>
          <w:color w:val="000000"/>
        </w:rPr>
        <w:t xml:space="preserve"> they can also overlap</w:t>
      </w:r>
      <w:r w:rsidR="00AE53D4">
        <w:rPr>
          <w:rFonts w:ascii="Gellix" w:eastAsia="Gellix" w:hAnsi="Gellix" w:cs="Gellix"/>
          <w:color w:val="000000"/>
        </w:rPr>
        <w:t>.</w:t>
      </w:r>
    </w:p>
    <w:p w14:paraId="584569B4" w14:textId="77777777" w:rsidR="00A64B31" w:rsidRDefault="00D96F8A" w:rsidP="00FB0CD2">
      <w:pPr>
        <w:numPr>
          <w:ilvl w:val="0"/>
          <w:numId w:val="2"/>
        </w:numPr>
        <w:pBdr>
          <w:top w:val="nil"/>
          <w:left w:val="nil"/>
          <w:bottom w:val="nil"/>
          <w:right w:val="nil"/>
          <w:between w:val="nil"/>
        </w:pBdr>
        <w:rPr>
          <w:color w:val="000000"/>
        </w:rPr>
      </w:pPr>
      <w:r>
        <w:rPr>
          <w:rFonts w:ascii="Gellix" w:eastAsia="Gellix" w:hAnsi="Gellix" w:cs="Gellix"/>
          <w:color w:val="000000"/>
        </w:rPr>
        <w:t>Standards organizations are compelled to start new projects to address new trends in AI, when limited or no changes to existing standards are sufficient.</w:t>
      </w:r>
    </w:p>
    <w:p w14:paraId="584569B5" w14:textId="7DAB03E9" w:rsidR="00A64B31" w:rsidRDefault="00D96F8A" w:rsidP="00FB0CD2">
      <w:pPr>
        <w:numPr>
          <w:ilvl w:val="0"/>
          <w:numId w:val="2"/>
        </w:numPr>
        <w:pBdr>
          <w:top w:val="nil"/>
          <w:left w:val="nil"/>
          <w:bottom w:val="nil"/>
          <w:right w:val="nil"/>
          <w:between w:val="nil"/>
        </w:pBdr>
        <w:rPr>
          <w:color w:val="000000"/>
        </w:rPr>
      </w:pPr>
      <w:r>
        <w:rPr>
          <w:rFonts w:ascii="Gellix" w:eastAsia="Gellix" w:hAnsi="Gellix" w:cs="Gellix"/>
          <w:color w:val="000000"/>
        </w:rPr>
        <w:t xml:space="preserve">Some participants attempt to address their specific public policy or trade interests and issues through standards projects. These parties see opportunities in the drafting process to encourage the adoption of policies that reflect their particular agendas. </w:t>
      </w:r>
    </w:p>
    <w:p w14:paraId="584569B6" w14:textId="77777777" w:rsidR="00A64B31" w:rsidRDefault="00D96F8A" w:rsidP="00FB0CD2">
      <w:pPr>
        <w:numPr>
          <w:ilvl w:val="0"/>
          <w:numId w:val="5"/>
        </w:numPr>
        <w:rPr>
          <w:rFonts w:ascii="Gellix" w:eastAsia="Gellix" w:hAnsi="Gellix" w:cs="Gellix"/>
        </w:rPr>
      </w:pPr>
      <w:r>
        <w:rPr>
          <w:rFonts w:ascii="Gellix" w:eastAsia="Gellix" w:hAnsi="Gellix" w:cs="Gellix"/>
        </w:rPr>
        <w:t>Divergences:</w:t>
      </w:r>
    </w:p>
    <w:p w14:paraId="584569B7" w14:textId="302B31B6" w:rsidR="00A64B31" w:rsidRDefault="00D96F8A" w:rsidP="00FB0CD2">
      <w:pPr>
        <w:numPr>
          <w:ilvl w:val="0"/>
          <w:numId w:val="1"/>
        </w:numPr>
        <w:pBdr>
          <w:top w:val="nil"/>
          <w:left w:val="nil"/>
          <w:bottom w:val="nil"/>
          <w:right w:val="nil"/>
          <w:between w:val="nil"/>
        </w:pBdr>
        <w:rPr>
          <w:rFonts w:ascii="Gellix" w:eastAsia="Gellix" w:hAnsi="Gellix" w:cs="Gellix"/>
          <w:color w:val="000000"/>
        </w:rPr>
      </w:pPr>
      <w:r>
        <w:rPr>
          <w:rFonts w:ascii="Gellix" w:eastAsia="Gellix" w:hAnsi="Gellix" w:cs="Gellix"/>
          <w:color w:val="000000"/>
        </w:rPr>
        <w:t>Regulatory vs. Voluntary Standards: Harmonized European AI standards, meaning those standards that are officially aligned with the EU AI Act, provide a clear path for the presumption of conformity.  Unless ISO, IEEE, and other international efforts are recognized through the European standardization bodies, they remain voluntary in the European context.</w:t>
      </w:r>
      <w:r w:rsidR="00D06438">
        <w:rPr>
          <w:rFonts w:ascii="Gellix" w:eastAsia="Gellix" w:hAnsi="Gellix" w:cs="Gellix"/>
          <w:color w:val="000000"/>
        </w:rPr>
        <w:t xml:space="preserve"> </w:t>
      </w:r>
      <w:r w:rsidR="00DC32C2">
        <w:rPr>
          <w:rFonts w:ascii="Gellix" w:eastAsia="Gellix" w:hAnsi="Gellix" w:cs="Gellix"/>
          <w:color w:val="000000"/>
        </w:rPr>
        <w:t>S</w:t>
      </w:r>
      <w:r w:rsidR="00BD20A1" w:rsidRPr="00BD20A1">
        <w:rPr>
          <w:rFonts w:ascii="Gellix" w:eastAsia="Gellix" w:hAnsi="Gellix" w:cs="Gellix"/>
          <w:color w:val="000000"/>
        </w:rPr>
        <w:t>ome standards focus only on a limited set of use cases, particularly when they are primarily designed to demonstrate compliance</w:t>
      </w:r>
      <w:r w:rsidR="00BD20A1">
        <w:rPr>
          <w:rFonts w:ascii="Gellix" w:eastAsia="Gellix" w:hAnsi="Gellix" w:cs="Gellix"/>
          <w:color w:val="000000"/>
        </w:rPr>
        <w:t xml:space="preserve"> of regulation for these use cases (e</w:t>
      </w:r>
      <w:r w:rsidR="00DE743A">
        <w:rPr>
          <w:rFonts w:ascii="Gellix" w:eastAsia="Gellix" w:hAnsi="Gellix" w:cs="Gellix"/>
          <w:color w:val="000000"/>
        </w:rPr>
        <w:t>.</w:t>
      </w:r>
      <w:r w:rsidR="00BD20A1">
        <w:rPr>
          <w:rFonts w:ascii="Gellix" w:eastAsia="Gellix" w:hAnsi="Gellix" w:cs="Gellix"/>
          <w:color w:val="000000"/>
        </w:rPr>
        <w:t xml:space="preserve">g. High-risk </w:t>
      </w:r>
      <w:r w:rsidR="0004111D">
        <w:rPr>
          <w:rFonts w:ascii="Gellix" w:eastAsia="Gellix" w:hAnsi="Gellix" w:cs="Gellix"/>
          <w:color w:val="000000"/>
        </w:rPr>
        <w:t>EU AI Act use cases)</w:t>
      </w:r>
      <w:r w:rsidR="00BD20A1" w:rsidRPr="00BD20A1">
        <w:rPr>
          <w:rFonts w:ascii="Gellix" w:eastAsia="Gellix" w:hAnsi="Gellix" w:cs="Gellix"/>
          <w:color w:val="000000"/>
        </w:rPr>
        <w:t>.</w:t>
      </w:r>
    </w:p>
    <w:p w14:paraId="2DF37A38" w14:textId="739B3372" w:rsidR="0004111D" w:rsidRDefault="004635F6" w:rsidP="00FB0CD2">
      <w:pPr>
        <w:numPr>
          <w:ilvl w:val="0"/>
          <w:numId w:val="1"/>
        </w:numPr>
        <w:pBdr>
          <w:top w:val="nil"/>
          <w:left w:val="nil"/>
          <w:bottom w:val="nil"/>
          <w:right w:val="nil"/>
          <w:between w:val="nil"/>
        </w:pBdr>
        <w:rPr>
          <w:rFonts w:ascii="Gellix" w:eastAsia="Gellix" w:hAnsi="Gellix" w:cs="Gellix"/>
          <w:color w:val="000000"/>
        </w:rPr>
      </w:pPr>
      <w:r>
        <w:rPr>
          <w:rFonts w:ascii="Gellix" w:eastAsia="Gellix" w:hAnsi="Gellix" w:cs="Gellix"/>
          <w:color w:val="000000"/>
        </w:rPr>
        <w:t xml:space="preserve">Related standards: </w:t>
      </w:r>
      <w:r w:rsidR="00CA3994">
        <w:rPr>
          <w:rFonts w:ascii="Gellix" w:eastAsia="Gellix" w:hAnsi="Gellix" w:cs="Gellix"/>
          <w:color w:val="000000"/>
        </w:rPr>
        <w:t>S</w:t>
      </w:r>
      <w:r w:rsidR="0004111D" w:rsidRPr="00103791">
        <w:rPr>
          <w:rFonts w:ascii="Gellix" w:eastAsia="Gellix" w:hAnsi="Gellix" w:cs="Gellix"/>
          <w:color w:val="000000"/>
        </w:rPr>
        <w:t>tandards</w:t>
      </w:r>
      <w:r w:rsidR="00CA3994">
        <w:rPr>
          <w:rFonts w:ascii="Gellix" w:eastAsia="Gellix" w:hAnsi="Gellix" w:cs="Gellix"/>
          <w:color w:val="000000"/>
        </w:rPr>
        <w:t xml:space="preserve"> on</w:t>
      </w:r>
      <w:r w:rsidR="0004111D" w:rsidRPr="00103791">
        <w:rPr>
          <w:rFonts w:ascii="Gellix" w:eastAsia="Gellix" w:hAnsi="Gellix" w:cs="Gellix"/>
          <w:color w:val="000000"/>
        </w:rPr>
        <w:t xml:space="preserve"> data sharing</w:t>
      </w:r>
      <w:r w:rsidR="00D8315F">
        <w:rPr>
          <w:rFonts w:ascii="Gellix" w:eastAsia="Gellix" w:hAnsi="Gellix" w:cs="Gellix"/>
          <w:color w:val="000000"/>
        </w:rPr>
        <w:t xml:space="preserve"> or data integrity</w:t>
      </w:r>
      <w:r w:rsidR="00CA3994">
        <w:rPr>
          <w:rFonts w:ascii="Gellix" w:eastAsia="Gellix" w:hAnsi="Gellix" w:cs="Gellix"/>
          <w:color w:val="000000"/>
        </w:rPr>
        <w:t xml:space="preserve"> need to be carefully calibrated so as not to </w:t>
      </w:r>
      <w:r w:rsidR="009C1319">
        <w:rPr>
          <w:rFonts w:ascii="Gellix" w:eastAsia="Gellix" w:hAnsi="Gellix" w:cs="Gellix"/>
          <w:color w:val="000000"/>
        </w:rPr>
        <w:t>inadvertently accelerate fragmentation of AI standards.</w:t>
      </w:r>
      <w:r w:rsidR="00ED1B5F" w:rsidRPr="00103791" w:rsidDel="00ED1B5F">
        <w:rPr>
          <w:rFonts w:ascii="Gellix" w:eastAsia="Gellix" w:hAnsi="Gellix" w:cs="Gellix"/>
          <w:color w:val="000000"/>
        </w:rPr>
        <w:t xml:space="preserve"> </w:t>
      </w:r>
    </w:p>
    <w:p w14:paraId="584569B8" w14:textId="2BF7454B" w:rsidR="00A64B31" w:rsidRDefault="00D96F8A" w:rsidP="00FB0CD2">
      <w:pPr>
        <w:numPr>
          <w:ilvl w:val="0"/>
          <w:numId w:val="1"/>
        </w:numPr>
        <w:pBdr>
          <w:top w:val="nil"/>
          <w:left w:val="nil"/>
          <w:bottom w:val="nil"/>
          <w:right w:val="nil"/>
          <w:between w:val="nil"/>
        </w:pBdr>
        <w:spacing w:after="240"/>
        <w:rPr>
          <w:rFonts w:ascii="Gellix" w:eastAsia="Gellix" w:hAnsi="Gellix" w:cs="Gellix"/>
          <w:color w:val="000000"/>
        </w:rPr>
      </w:pPr>
      <w:r>
        <w:rPr>
          <w:color w:val="000000"/>
        </w:rPr>
        <w:t>T</w:t>
      </w:r>
      <w:r>
        <w:rPr>
          <w:rFonts w:ascii="Gellix" w:eastAsia="Gellix" w:hAnsi="Gellix" w:cs="Gellix"/>
          <w:color w:val="000000"/>
        </w:rPr>
        <w:t>erminology and Scope Differences: Various bodies use different terminologies and methodologies to define AI risks, transparency, and robustness</w:t>
      </w:r>
      <w:r w:rsidR="00F706C9">
        <w:rPr>
          <w:rFonts w:ascii="Gellix" w:eastAsia="Gellix" w:hAnsi="Gellix" w:cs="Gellix"/>
          <w:color w:val="000000"/>
        </w:rPr>
        <w:t xml:space="preserve"> </w:t>
      </w:r>
      <w:r w:rsidR="00F706C9" w:rsidRPr="00316409">
        <w:rPr>
          <w:rFonts w:ascii="Gellix" w:eastAsia="Gellix" w:hAnsi="Gellix" w:cs="Gellix"/>
          <w:color w:val="000000"/>
        </w:rPr>
        <w:t>as well as security and safety</w:t>
      </w:r>
      <w:r>
        <w:rPr>
          <w:rFonts w:ascii="Gellix" w:eastAsia="Gellix" w:hAnsi="Gellix" w:cs="Gellix"/>
          <w:color w:val="000000"/>
        </w:rPr>
        <w:t>, and it is unclear if such inconsistencies might lead to significant differences in implementations across sectors and jurisdictions.</w:t>
      </w:r>
    </w:p>
    <w:p w14:paraId="584569B9" w14:textId="77777777" w:rsidR="00A64B31" w:rsidRDefault="00D96F8A" w:rsidP="00FB0CD2">
      <w:pPr>
        <w:spacing w:before="240" w:after="240"/>
        <w:rPr>
          <w:rFonts w:ascii="Gellix" w:eastAsia="Gellix" w:hAnsi="Gellix" w:cs="Gellix"/>
        </w:rPr>
      </w:pPr>
      <w:r>
        <w:rPr>
          <w:rFonts w:ascii="Gellix" w:eastAsia="Gellix" w:hAnsi="Gellix" w:cs="Gellix"/>
        </w:rPr>
        <w:t>Furthermore, standards-setting efforts are often slow compared to the fast-paced evolution of AI technologies, which could lead to a gap between emerging AI applications and the regulatory or technical guidance needed to ensure their responsible use. However, it is important to note:</w:t>
      </w:r>
    </w:p>
    <w:p w14:paraId="584569BA" w14:textId="77777777" w:rsidR="00A64B31" w:rsidRDefault="00D96F8A" w:rsidP="00FB0CD2">
      <w:pPr>
        <w:numPr>
          <w:ilvl w:val="0"/>
          <w:numId w:val="3"/>
        </w:numPr>
        <w:pBdr>
          <w:top w:val="nil"/>
          <w:left w:val="nil"/>
          <w:bottom w:val="nil"/>
          <w:right w:val="nil"/>
          <w:between w:val="nil"/>
        </w:pBdr>
        <w:spacing w:before="240"/>
        <w:rPr>
          <w:rFonts w:ascii="Gellix" w:eastAsia="Gellix" w:hAnsi="Gellix" w:cs="Gellix"/>
          <w:color w:val="000000"/>
        </w:rPr>
      </w:pPr>
      <w:r>
        <w:rPr>
          <w:rFonts w:ascii="Gellix" w:eastAsia="Gellix" w:hAnsi="Gellix" w:cs="Gellix"/>
          <w:color w:val="000000"/>
        </w:rPr>
        <w:t>Groundbreaking or anticipatory standards (in any field) often require more time to develop, but can still be more responsive than regulation.</w:t>
      </w:r>
    </w:p>
    <w:p w14:paraId="72B74F25" w14:textId="21ABCF05" w:rsidR="008A6EB9" w:rsidRDefault="00D96F8A" w:rsidP="00FB0CD2">
      <w:pPr>
        <w:numPr>
          <w:ilvl w:val="0"/>
          <w:numId w:val="3"/>
        </w:numPr>
        <w:pBdr>
          <w:top w:val="nil"/>
          <w:left w:val="nil"/>
          <w:bottom w:val="nil"/>
          <w:right w:val="nil"/>
          <w:between w:val="nil"/>
        </w:pBdr>
        <w:rPr>
          <w:rFonts w:ascii="Gellix" w:eastAsia="Gellix" w:hAnsi="Gellix" w:cs="Gellix"/>
          <w:color w:val="000000"/>
        </w:rPr>
      </w:pPr>
      <w:r>
        <w:rPr>
          <w:rFonts w:ascii="Gellix" w:eastAsia="Gellix" w:hAnsi="Gellix" w:cs="Gellix"/>
          <w:color w:val="000000"/>
        </w:rPr>
        <w:t>Standards organizations often start new projects to address new trends, even though existing standards or minor updates to them could address these issues.</w:t>
      </w:r>
    </w:p>
    <w:p w14:paraId="584569BC" w14:textId="51F98C5B" w:rsidR="00A64B31" w:rsidRPr="008A6EB9" w:rsidRDefault="00D96F8A" w:rsidP="00316409">
      <w:pPr>
        <w:numPr>
          <w:ilvl w:val="0"/>
          <w:numId w:val="3"/>
        </w:numPr>
        <w:pBdr>
          <w:top w:val="nil"/>
          <w:left w:val="nil"/>
          <w:bottom w:val="nil"/>
          <w:right w:val="nil"/>
          <w:between w:val="nil"/>
        </w:pBdr>
        <w:rPr>
          <w:rFonts w:ascii="Gellix" w:eastAsia="Gellix" w:hAnsi="Gellix" w:cs="Gellix"/>
        </w:rPr>
      </w:pPr>
      <w:r w:rsidRPr="008A6EB9">
        <w:rPr>
          <w:rFonts w:ascii="Gellix" w:eastAsia="Gellix" w:hAnsi="Gellix" w:cs="Gellix"/>
        </w:rPr>
        <w:lastRenderedPageBreak/>
        <w:t>Efforts to create mutual recognition mechanisms, streamline standards where possible, and ensure alignment with broader digital governance frameworks will be key to fostering a more coherent and effective AI standards ecosystem.</w:t>
      </w:r>
    </w:p>
    <w:p w14:paraId="584569BE" w14:textId="77777777" w:rsidR="00A64B31" w:rsidRDefault="00D96F8A" w:rsidP="00FB0CD2">
      <w:pPr>
        <w:spacing w:before="240" w:after="240"/>
        <w:rPr>
          <w:rFonts w:ascii="Gellix" w:eastAsia="Gellix" w:hAnsi="Gellix" w:cs="Gellix"/>
        </w:rPr>
      </w:pPr>
      <w:bookmarkStart w:id="2" w:name="_Hlk199289725"/>
      <w:r>
        <w:rPr>
          <w:rFonts w:ascii="Gellix" w:eastAsia="Gellix" w:hAnsi="Gellix" w:cs="Gellix"/>
          <w:i/>
        </w:rPr>
        <w:t>Case studies: Core international AI standards</w:t>
      </w:r>
      <w:r>
        <w:rPr>
          <w:rFonts w:ascii="Gellix" w:eastAsia="Gellix" w:hAnsi="Gellix" w:cs="Gellix"/>
        </w:rPr>
        <w:t xml:space="preserve"> </w:t>
      </w:r>
    </w:p>
    <w:bookmarkEnd w:id="2"/>
    <w:p w14:paraId="584569BF" w14:textId="413531B8" w:rsidR="00A64B31" w:rsidRDefault="00A011E8" w:rsidP="00FB0CD2">
      <w:pPr>
        <w:spacing w:before="240" w:after="240"/>
        <w:rPr>
          <w:rFonts w:ascii="Gellix" w:eastAsia="Gellix" w:hAnsi="Gellix" w:cs="Gellix"/>
        </w:rPr>
      </w:pPr>
      <w:r>
        <w:rPr>
          <w:rFonts w:ascii="Gellix" w:eastAsia="Gellix" w:hAnsi="Gellix" w:cs="Gellix"/>
        </w:rPr>
        <w:t>M</w:t>
      </w:r>
      <w:r w:rsidRPr="00A011E8">
        <w:rPr>
          <w:rFonts w:ascii="Gellix" w:eastAsia="Gellix" w:hAnsi="Gellix" w:cs="Gellix"/>
          <w:lang w:val="en-US"/>
        </w:rPr>
        <w:t>arket-driven standards</w:t>
      </w:r>
      <w:r w:rsidR="00D96F8A">
        <w:rPr>
          <w:rFonts w:ascii="Gellix" w:eastAsia="Gellix" w:hAnsi="Gellix" w:cs="Gellix"/>
        </w:rPr>
        <w:t xml:space="preserve"> play a crucial role in AI governance by establishing common expectations across the global AI supply chain. The cornerstone of these standards is ISO/IEC 42001, requiring organizations adopting this standard </w:t>
      </w:r>
      <w:r w:rsidR="00664A88">
        <w:rPr>
          <w:rFonts w:ascii="Gellix" w:eastAsia="Gellix" w:hAnsi="Gellix" w:cs="Gellix"/>
        </w:rPr>
        <w:t>for responsible AI</w:t>
      </w:r>
      <w:r w:rsidR="004B5E0D">
        <w:rPr>
          <w:rFonts w:ascii="Gellix" w:eastAsia="Gellix" w:hAnsi="Gellix" w:cs="Gellix"/>
        </w:rPr>
        <w:t xml:space="preserve"> to </w:t>
      </w:r>
      <w:r w:rsidR="00645061">
        <w:rPr>
          <w:rFonts w:ascii="Gellix" w:eastAsia="Gellix" w:hAnsi="Gellix" w:cs="Gellix"/>
        </w:rPr>
        <w:t xml:space="preserve">implement management practices such as </w:t>
      </w:r>
      <w:r w:rsidR="004B5E0D">
        <w:rPr>
          <w:rFonts w:ascii="Gellix" w:eastAsia="Gellix" w:hAnsi="Gellix" w:cs="Gellix"/>
        </w:rPr>
        <w:t>demonstrat</w:t>
      </w:r>
      <w:r w:rsidR="00645061">
        <w:rPr>
          <w:rFonts w:ascii="Gellix" w:eastAsia="Gellix" w:hAnsi="Gellix" w:cs="Gellix"/>
        </w:rPr>
        <w:t>ing</w:t>
      </w:r>
      <w:r w:rsidR="00D96F8A">
        <w:rPr>
          <w:rFonts w:ascii="Gellix" w:eastAsia="Gellix" w:hAnsi="Gellix" w:cs="Gellix"/>
        </w:rPr>
        <w:t xml:space="preserve"> their ability to evaluate and mitigate risks, </w:t>
      </w:r>
      <w:r w:rsidR="004B5E0D">
        <w:rPr>
          <w:rFonts w:ascii="Gellix" w:eastAsia="Gellix" w:hAnsi="Gellix" w:cs="Gellix"/>
        </w:rPr>
        <w:t>maintain</w:t>
      </w:r>
      <w:r w:rsidR="005D1F2B">
        <w:rPr>
          <w:rFonts w:ascii="Gellix" w:eastAsia="Gellix" w:hAnsi="Gellix" w:cs="Gellix"/>
        </w:rPr>
        <w:t>ing</w:t>
      </w:r>
      <w:r w:rsidR="00D96F8A">
        <w:rPr>
          <w:rFonts w:ascii="Gellix" w:eastAsia="Gellix" w:hAnsi="Gellix" w:cs="Gellix"/>
        </w:rPr>
        <w:t xml:space="preserve"> high-quality </w:t>
      </w:r>
      <w:r w:rsidR="00994E3A">
        <w:rPr>
          <w:rFonts w:ascii="Gellix" w:eastAsia="Gellix" w:hAnsi="Gellix" w:cs="Gellix"/>
        </w:rPr>
        <w:t>data</w:t>
      </w:r>
      <w:r w:rsidR="0017070D">
        <w:rPr>
          <w:rFonts w:ascii="Gellix" w:eastAsia="Gellix" w:hAnsi="Gellix" w:cs="Gellix"/>
        </w:rPr>
        <w:t xml:space="preserve"> </w:t>
      </w:r>
      <w:r w:rsidR="004B5E0D">
        <w:rPr>
          <w:rFonts w:ascii="Gellix" w:eastAsia="Gellix" w:hAnsi="Gellix" w:cs="Gellix"/>
        </w:rPr>
        <w:t>d</w:t>
      </w:r>
      <w:r w:rsidR="005D1F2B">
        <w:rPr>
          <w:rFonts w:ascii="Gellix" w:eastAsia="Gellix" w:hAnsi="Gellix" w:cs="Gellix"/>
        </w:rPr>
        <w:t>ocumentation</w:t>
      </w:r>
      <w:r w:rsidR="0017070D">
        <w:rPr>
          <w:rFonts w:ascii="Gellix" w:eastAsia="Gellix" w:hAnsi="Gellix" w:cs="Gellix"/>
        </w:rPr>
        <w:t xml:space="preserve"> </w:t>
      </w:r>
      <w:r w:rsidR="00D96F8A">
        <w:rPr>
          <w:rFonts w:ascii="Gellix" w:eastAsia="Gellix" w:hAnsi="Gellix" w:cs="Gellix"/>
        </w:rPr>
        <w:t xml:space="preserve">practices, and </w:t>
      </w:r>
      <w:r w:rsidR="0017070D">
        <w:rPr>
          <w:rFonts w:ascii="Gellix" w:eastAsia="Gellix" w:hAnsi="Gellix" w:cs="Gellix"/>
        </w:rPr>
        <w:t xml:space="preserve">ensuring </w:t>
      </w:r>
      <w:r w:rsidR="00D96F8A">
        <w:rPr>
          <w:rFonts w:ascii="Gellix" w:eastAsia="Gellix" w:hAnsi="Gellix" w:cs="Gellix"/>
        </w:rPr>
        <w:t xml:space="preserve">clear communication with partners and customers. </w:t>
      </w:r>
      <w:r w:rsidR="00664A88">
        <w:rPr>
          <w:rFonts w:ascii="Gellix" w:eastAsia="Gellix" w:hAnsi="Gellix" w:cs="Gellix"/>
        </w:rPr>
        <w:t xml:space="preserve">Additionally, organizations </w:t>
      </w:r>
      <w:r w:rsidR="008C3679">
        <w:rPr>
          <w:rFonts w:ascii="Gellix" w:eastAsia="Gellix" w:hAnsi="Gellix" w:cs="Gellix"/>
        </w:rPr>
        <w:t>using</w:t>
      </w:r>
      <w:r w:rsidR="00664A88">
        <w:rPr>
          <w:rFonts w:ascii="Gellix" w:eastAsia="Gellix" w:hAnsi="Gellix" w:cs="Gellix"/>
        </w:rPr>
        <w:t xml:space="preserve"> or developing </w:t>
      </w:r>
      <w:r w:rsidR="00CB5AE3">
        <w:rPr>
          <w:rFonts w:ascii="Gellix" w:eastAsia="Gellix" w:hAnsi="Gellix" w:cs="Gellix"/>
        </w:rPr>
        <w:t xml:space="preserve">high risk </w:t>
      </w:r>
      <w:r w:rsidR="00664A88">
        <w:rPr>
          <w:rFonts w:ascii="Gellix" w:eastAsia="Gellix" w:hAnsi="Gellix" w:cs="Gellix"/>
        </w:rPr>
        <w:t>AI systems must</w:t>
      </w:r>
      <w:r w:rsidR="008C3679">
        <w:rPr>
          <w:rFonts w:ascii="Gellix" w:eastAsia="Gellix" w:hAnsi="Gellix" w:cs="Gellix"/>
        </w:rPr>
        <w:t xml:space="preserve"> implementing controls at a system level </w:t>
      </w:r>
      <w:r w:rsidR="00D27655">
        <w:rPr>
          <w:rFonts w:ascii="Gellix" w:eastAsia="Gellix" w:hAnsi="Gellix" w:cs="Gellix"/>
        </w:rPr>
        <w:t>demonstrating</w:t>
      </w:r>
      <w:r w:rsidR="000D0206">
        <w:rPr>
          <w:rFonts w:ascii="Gellix" w:eastAsia="Gellix" w:hAnsi="Gellix" w:cs="Gellix"/>
        </w:rPr>
        <w:t xml:space="preserve"> responsible AI </w:t>
      </w:r>
      <w:r w:rsidR="00746FBF">
        <w:rPr>
          <w:rFonts w:ascii="Gellix" w:eastAsia="Gellix" w:hAnsi="Gellix" w:cs="Gellix"/>
        </w:rPr>
        <w:t>design, development, and use, such as: C</w:t>
      </w:r>
      <w:r w:rsidR="00C301AE">
        <w:rPr>
          <w:rFonts w:ascii="Gellix" w:eastAsia="Gellix" w:hAnsi="Gellix" w:cs="Gellix"/>
        </w:rPr>
        <w:t>ompl</w:t>
      </w:r>
      <w:r w:rsidR="00746FBF">
        <w:rPr>
          <w:rFonts w:ascii="Gellix" w:eastAsia="Gellix" w:hAnsi="Gellix" w:cs="Gellix"/>
        </w:rPr>
        <w:t>etion of</w:t>
      </w:r>
      <w:r w:rsidR="00C301AE">
        <w:rPr>
          <w:rFonts w:ascii="Gellix" w:eastAsia="Gellix" w:hAnsi="Gellix" w:cs="Gellix"/>
        </w:rPr>
        <w:t xml:space="preserve"> system impact assessments</w:t>
      </w:r>
      <w:r w:rsidR="00746FBF">
        <w:rPr>
          <w:rFonts w:ascii="Gellix" w:eastAsia="Gellix" w:hAnsi="Gellix" w:cs="Gellix"/>
        </w:rPr>
        <w:t>;</w:t>
      </w:r>
      <w:r w:rsidR="00C301AE">
        <w:rPr>
          <w:rFonts w:ascii="Gellix" w:eastAsia="Gellix" w:hAnsi="Gellix" w:cs="Gellix"/>
        </w:rPr>
        <w:t xml:space="preserve"> </w:t>
      </w:r>
      <w:r w:rsidR="00746FBF">
        <w:rPr>
          <w:rFonts w:ascii="Gellix" w:eastAsia="Gellix" w:hAnsi="Gellix" w:cs="Gellix"/>
        </w:rPr>
        <w:t>R</w:t>
      </w:r>
      <w:r w:rsidR="00C301AE">
        <w:rPr>
          <w:rFonts w:ascii="Gellix" w:eastAsia="Gellix" w:hAnsi="Gellix" w:cs="Gellix"/>
        </w:rPr>
        <w:t>esponsible system lifecycle</w:t>
      </w:r>
      <w:r w:rsidR="00973FD9">
        <w:rPr>
          <w:rFonts w:ascii="Gellix" w:eastAsia="Gellix" w:hAnsi="Gellix" w:cs="Gellix"/>
        </w:rPr>
        <w:t xml:space="preserve"> design and development</w:t>
      </w:r>
      <w:r w:rsidR="00746FBF">
        <w:rPr>
          <w:rFonts w:ascii="Gellix" w:eastAsia="Gellix" w:hAnsi="Gellix" w:cs="Gellix"/>
        </w:rPr>
        <w:t>;</w:t>
      </w:r>
      <w:r w:rsidR="00973FD9">
        <w:rPr>
          <w:rFonts w:ascii="Gellix" w:eastAsia="Gellix" w:hAnsi="Gellix" w:cs="Gellix"/>
        </w:rPr>
        <w:t xml:space="preserve"> </w:t>
      </w:r>
      <w:r w:rsidR="009259EF">
        <w:rPr>
          <w:rFonts w:ascii="Gellix" w:eastAsia="Gellix" w:hAnsi="Gellix" w:cs="Gellix"/>
        </w:rPr>
        <w:t>D</w:t>
      </w:r>
      <w:r w:rsidR="00E307FE">
        <w:rPr>
          <w:rFonts w:ascii="Gellix" w:eastAsia="Gellix" w:hAnsi="Gellix" w:cs="Gellix"/>
        </w:rPr>
        <w:t>ata for AI systems</w:t>
      </w:r>
      <w:r w:rsidR="009259EF">
        <w:rPr>
          <w:rFonts w:ascii="Gellix" w:eastAsia="Gellix" w:hAnsi="Gellix" w:cs="Gellix"/>
        </w:rPr>
        <w:t>.</w:t>
      </w:r>
      <w:r w:rsidR="008264B2">
        <w:rPr>
          <w:rFonts w:ascii="Gellix" w:eastAsia="Gellix" w:hAnsi="Gellix" w:cs="Gellix"/>
        </w:rPr>
        <w:t xml:space="preserve"> </w:t>
      </w:r>
      <w:r w:rsidR="00D96F8A">
        <w:rPr>
          <w:rFonts w:ascii="Gellix" w:eastAsia="Gellix" w:hAnsi="Gellix" w:cs="Gellix"/>
        </w:rPr>
        <w:t xml:space="preserve">Compliance </w:t>
      </w:r>
      <w:r w:rsidR="004B0064">
        <w:rPr>
          <w:rFonts w:ascii="Gellix" w:eastAsia="Gellix" w:hAnsi="Gellix" w:cs="Gellix"/>
        </w:rPr>
        <w:t xml:space="preserve">can be </w:t>
      </w:r>
      <w:r w:rsidR="00D96F8A">
        <w:rPr>
          <w:rFonts w:ascii="Gellix" w:eastAsia="Gellix" w:hAnsi="Gellix" w:cs="Gellix"/>
        </w:rPr>
        <w:t>verified through independent audits.</w:t>
      </w:r>
    </w:p>
    <w:p w14:paraId="37E0CD11" w14:textId="49D78A3B" w:rsidR="00AA06FF" w:rsidRDefault="00D96F8A" w:rsidP="008A0C30">
      <w:pPr>
        <w:spacing w:before="240" w:after="240"/>
        <w:rPr>
          <w:rFonts w:ascii="Gellix" w:eastAsia="Gellix" w:hAnsi="Gellix" w:cs="Gellix"/>
        </w:rPr>
      </w:pPr>
      <w:r>
        <w:rPr>
          <w:rFonts w:ascii="Gellix" w:eastAsia="Gellix" w:hAnsi="Gellix" w:cs="Gellix"/>
        </w:rPr>
        <w:t xml:space="preserve">Supporting standards complement ISO/IEC 42001, including frameworks for assessing and managing risks (ISO/IEC 23894), evaluating potential impacts on the organization and individuals (ISO/IEC 42005), and ensuring data quality throughout the AI development process (ISO/IEC 5259-2). These standards serve multiple audiences - from technology companies seeking to build trustworthy AI systems to government agencies developing policies and organizations looking to procure AI solutions. As AI systems are fundamentally IT systems, they must be secured with established information security practices, such as ISO/IEC 27001 and </w:t>
      </w:r>
      <w:r w:rsidR="002C72EC">
        <w:rPr>
          <w:rFonts w:ascii="Gellix" w:eastAsia="Gellix" w:hAnsi="Gellix" w:cs="Gellix"/>
        </w:rPr>
        <w:t>27002</w:t>
      </w:r>
      <w:r w:rsidR="00046264">
        <w:rPr>
          <w:rFonts w:ascii="Gellix" w:eastAsia="Gellix" w:hAnsi="Gellix" w:cs="Gellix"/>
        </w:rPr>
        <w:t>, and</w:t>
      </w:r>
      <w:r w:rsidR="0080720A">
        <w:rPr>
          <w:rFonts w:ascii="Gellix" w:eastAsia="Gellix" w:hAnsi="Gellix" w:cs="Gellix"/>
        </w:rPr>
        <w:t xml:space="preserve"> </w:t>
      </w:r>
      <w:r w:rsidR="000B023C" w:rsidRPr="0017070D">
        <w:rPr>
          <w:rFonts w:ascii="Gellix" w:eastAsia="Gellix" w:hAnsi="Gellix" w:cs="Gellix"/>
        </w:rPr>
        <w:t xml:space="preserve">ISO/IEC </w:t>
      </w:r>
      <w:r w:rsidR="00575F13">
        <w:rPr>
          <w:rFonts w:ascii="Gellix" w:eastAsia="Gellix" w:hAnsi="Gellix" w:cs="Gellix"/>
        </w:rPr>
        <w:t>27002</w:t>
      </w:r>
      <w:r w:rsidR="000B023C">
        <w:rPr>
          <w:rFonts w:ascii="Gellix" w:eastAsia="Gellix" w:hAnsi="Gellix" w:cs="Gellix"/>
        </w:rPr>
        <w:t xml:space="preserve">, </w:t>
      </w:r>
      <w:r w:rsidR="000B023C" w:rsidRPr="0017070D">
        <w:rPr>
          <w:rFonts w:ascii="Gellix" w:eastAsia="Gellix" w:hAnsi="Gellix" w:cs="Gellix"/>
        </w:rPr>
        <w:t>as well as privacy practices, such as ISO/IEC 27701</w:t>
      </w:r>
      <w:r>
        <w:rPr>
          <w:rFonts w:ascii="Gellix" w:eastAsia="Gellix" w:hAnsi="Gellix" w:cs="Gellix"/>
        </w:rPr>
        <w:t>. However, AI-specific threats also need to be considered. A forthcoming standard (ISO/IEC 27090) will provide AI-specific security guidance</w:t>
      </w:r>
      <w:r w:rsidR="002C72EC">
        <w:rPr>
          <w:rFonts w:ascii="Gellix" w:eastAsia="Gellix" w:hAnsi="Gellix" w:cs="Gellix"/>
        </w:rPr>
        <w:t>.</w:t>
      </w:r>
      <w:r w:rsidR="00CC7A64">
        <w:rPr>
          <w:rFonts w:ascii="Gellix" w:eastAsia="Gellix" w:hAnsi="Gellix" w:cs="Gellix"/>
        </w:rPr>
        <w:t xml:space="preserve"> </w:t>
      </w:r>
      <w:r w:rsidR="00AA06FF" w:rsidRPr="00AA06FF">
        <w:rPr>
          <w:rFonts w:ascii="Gellix" w:eastAsia="Gellix" w:hAnsi="Gellix" w:cs="Gellix"/>
        </w:rPr>
        <w:t>In global trade and supply chain context</w:t>
      </w:r>
      <w:r w:rsidR="00AA06FF">
        <w:rPr>
          <w:rFonts w:ascii="Gellix" w:eastAsia="Gellix" w:hAnsi="Gellix" w:cs="Gellix"/>
        </w:rPr>
        <w:t xml:space="preserve">s, </w:t>
      </w:r>
      <w:r w:rsidR="00AA06FF" w:rsidRPr="00AA06FF">
        <w:rPr>
          <w:rFonts w:ascii="Gellix" w:eastAsia="Gellix" w:hAnsi="Gellix" w:cs="Gellix"/>
        </w:rPr>
        <w:t xml:space="preserve">especially for generative AI </w:t>
      </w:r>
      <w:r w:rsidR="003F4437">
        <w:rPr>
          <w:rFonts w:ascii="Gellix" w:eastAsia="Gellix" w:hAnsi="Gellix" w:cs="Gellix"/>
        </w:rPr>
        <w:t xml:space="preserve">and AI </w:t>
      </w:r>
      <w:r w:rsidR="00AA06FF" w:rsidRPr="00AA06FF">
        <w:rPr>
          <w:rFonts w:ascii="Gellix" w:eastAsia="Gellix" w:hAnsi="Gellix" w:cs="Gellix"/>
        </w:rPr>
        <w:t>agents</w:t>
      </w:r>
      <w:r w:rsidR="003F4437">
        <w:rPr>
          <w:rFonts w:ascii="Gellix" w:eastAsia="Gellix" w:hAnsi="Gellix" w:cs="Gellix"/>
        </w:rPr>
        <w:t xml:space="preserve">, </w:t>
      </w:r>
      <w:r w:rsidR="00AA06FF" w:rsidRPr="00AA06FF">
        <w:rPr>
          <w:rFonts w:ascii="Gellix" w:eastAsia="Gellix" w:hAnsi="Gellix" w:cs="Gellix"/>
        </w:rPr>
        <w:t xml:space="preserve">structured, semantic data plays a critical role in ensuring accurate, safe, and efficient operations. The </w:t>
      </w:r>
      <w:r w:rsidR="00575CEA">
        <w:rPr>
          <w:rFonts w:ascii="Gellix" w:eastAsia="Gellix" w:hAnsi="Gellix" w:cs="Gellix"/>
        </w:rPr>
        <w:t>ICC</w:t>
      </w:r>
      <w:r w:rsidR="00AA06FF" w:rsidRPr="00AA06FF">
        <w:rPr>
          <w:rFonts w:ascii="Gellix" w:eastAsia="Gellix" w:hAnsi="Gellix" w:cs="Gellix"/>
        </w:rPr>
        <w:t xml:space="preserve"> Digital Standards Initiative (ICC DSI) has advanced this through its Knowledge Transfer and Data Description Environment (KTDDE) modelling work, based on the U</w:t>
      </w:r>
      <w:r w:rsidR="00575CEA">
        <w:rPr>
          <w:rFonts w:ascii="Gellix" w:eastAsia="Gellix" w:hAnsi="Gellix" w:cs="Gellix"/>
        </w:rPr>
        <w:t xml:space="preserve">N </w:t>
      </w:r>
      <w:r w:rsidR="00AA06FF" w:rsidRPr="00AA06FF">
        <w:rPr>
          <w:rFonts w:ascii="Gellix" w:eastAsia="Gellix" w:hAnsi="Gellix" w:cs="Gellix"/>
        </w:rPr>
        <w:t xml:space="preserve">Centre for Trade Facilitation and Electronic Business (UN/CEFACT)’s United Nations Trade Data Elements Directory (UNTDED) </w:t>
      </w:r>
      <w:r w:rsidR="00575CEA">
        <w:rPr>
          <w:rFonts w:ascii="Gellix" w:eastAsia="Gellix" w:hAnsi="Gellix" w:cs="Gellix"/>
        </w:rPr>
        <w:t xml:space="preserve">ISO </w:t>
      </w:r>
      <w:r w:rsidR="00AA06FF" w:rsidRPr="00AA06FF">
        <w:rPr>
          <w:rFonts w:ascii="Gellix" w:eastAsia="Gellix" w:hAnsi="Gellix" w:cs="Gellix"/>
        </w:rPr>
        <w:t>7372, which standardizes trade documentation and enhances machine interpretability. UN/CEFACT’s recent whitepaper further explores how AI can support trade facilitation by leveraging such structured data approaches</w:t>
      </w:r>
      <w:r w:rsidR="00575CEA">
        <w:rPr>
          <w:rStyle w:val="FootnoteReference"/>
          <w:rFonts w:ascii="Gellix" w:eastAsia="Gellix" w:hAnsi="Gellix" w:cs="Gellix"/>
        </w:rPr>
        <w:footnoteReference w:id="4"/>
      </w:r>
      <w:r w:rsidR="00AA06FF" w:rsidRPr="00AA06FF">
        <w:rPr>
          <w:rFonts w:ascii="Gellix" w:eastAsia="Gellix" w:hAnsi="Gellix" w:cs="Gellix"/>
        </w:rPr>
        <w:t>.</w:t>
      </w:r>
    </w:p>
    <w:p w14:paraId="584569C1" w14:textId="77777777" w:rsidR="00A64B31" w:rsidRDefault="00D96F8A" w:rsidP="00FB0CD2">
      <w:pPr>
        <w:spacing w:before="240" w:after="240"/>
        <w:rPr>
          <w:rFonts w:ascii="Gellix" w:eastAsia="Gellix" w:hAnsi="Gellix" w:cs="Gellix"/>
        </w:rPr>
      </w:pPr>
      <w:r>
        <w:rPr>
          <w:rFonts w:ascii="Gellix" w:eastAsia="Gellix" w:hAnsi="Gellix" w:cs="Gellix"/>
        </w:rPr>
        <w:lastRenderedPageBreak/>
        <w:t>Industry can demonstrate their commitment to responsible AI by adopting international standards, while government entities and purchasers can reference them in legislation, policy development, and procurement processes to meet established trust and security requirements benchmarks.</w:t>
      </w:r>
    </w:p>
    <w:p w14:paraId="584569C2" w14:textId="77777777" w:rsidR="00A64B31" w:rsidRDefault="00D96F8A" w:rsidP="00FB0CD2">
      <w:pPr>
        <w:spacing w:before="240" w:after="240"/>
        <w:rPr>
          <w:rFonts w:ascii="Gellix" w:eastAsia="Gellix" w:hAnsi="Gellix" w:cs="Gellix"/>
        </w:rPr>
      </w:pPr>
      <w:r>
        <w:rPr>
          <w:rFonts w:ascii="Gellix" w:eastAsia="Gellix" w:hAnsi="Gellix" w:cs="Gellix"/>
        </w:rPr>
        <w:t xml:space="preserve">AI risk management forms a cornerstone of AI governance. It refers to frameworks that define policies, procedures, roles, and responsibilities across the AI lifecycle that organizations can adopt in order to develop, deploy and maintain AI systems in a way that minimizes risks and attains ongoing regulatory compliance. Implementation of such risk management practices has been mandated under several AI regulations. </w:t>
      </w:r>
      <w:r>
        <w:t xml:space="preserve">     </w:t>
      </w:r>
      <w:r>
        <w:rPr>
          <w:rFonts w:ascii="Gellix" w:eastAsia="Gellix" w:hAnsi="Gellix" w:cs="Gellix"/>
        </w:rPr>
        <w:t xml:space="preserve">Leveraging existing best practice reference points can help drive interoperability among domestic AI policy and regulation and accelerate the implementation of risk management frameworks. ISO/IEC 23894:2023 AI Risk Management, published in December 2023, provides guidance on how organizations can manage risk specifically related to AI, and is applicable for organizations of any size and across sectors. In addition, the </w:t>
      </w:r>
      <w:r>
        <w:rPr>
          <w:rFonts w:ascii="Gellix" w:eastAsia="Gellix" w:hAnsi="Gellix" w:cs="Gellix"/>
          <w:color w:val="161616"/>
          <w:highlight w:val="white"/>
        </w:rPr>
        <w:t xml:space="preserve">National Institute of Standards and Technology (NIST) </w:t>
      </w:r>
      <w:hyperlink r:id="rId16">
        <w:r w:rsidR="00A64B31">
          <w:rPr>
            <w:rFonts w:ascii="Gellix" w:eastAsia="Gellix" w:hAnsi="Gellix" w:cs="Gellix"/>
            <w:color w:val="0062FF"/>
            <w:highlight w:val="white"/>
            <w:u w:val="single"/>
          </w:rPr>
          <w:t xml:space="preserve">AI Risk Management Framework </w:t>
        </w:r>
      </w:hyperlink>
      <w:r>
        <w:rPr>
          <w:rFonts w:ascii="Gellix" w:eastAsia="Gellix" w:hAnsi="Gellix" w:cs="Gellix"/>
          <w:color w:val="161616"/>
          <w:highlight w:val="white"/>
        </w:rPr>
        <w:t>(AI RMF)</w:t>
      </w:r>
      <w:r>
        <w:rPr>
          <w:rFonts w:ascii="Gellix" w:eastAsia="Gellix" w:hAnsi="Gellix" w:cs="Gellix"/>
        </w:rPr>
        <w:t>, version 1.0 of which was published in January 2023, supports responsible development, use, and evaluation of AI products and services and is publicly available at no cost.</w:t>
      </w:r>
      <w:r w:rsidR="00DA746C">
        <w:rPr>
          <w:rFonts w:ascii="Gellix" w:eastAsia="Gellix" w:hAnsi="Gellix" w:cs="Gellix"/>
        </w:rPr>
        <w:t xml:space="preserve"> NIST has also published various crosswalks</w:t>
      </w:r>
      <w:r w:rsidR="00E00657">
        <w:rPr>
          <w:rFonts w:ascii="Gellix" w:eastAsia="Gellix" w:hAnsi="Gellix" w:cs="Gellix"/>
        </w:rPr>
        <w:t xml:space="preserve"> to the RMF</w:t>
      </w:r>
      <w:r w:rsidR="00DA746C">
        <w:rPr>
          <w:rFonts w:ascii="Gellix" w:eastAsia="Gellix" w:hAnsi="Gellix" w:cs="Gellix"/>
        </w:rPr>
        <w:t>, including</w:t>
      </w:r>
      <w:r w:rsidR="00E00657">
        <w:rPr>
          <w:rFonts w:ascii="Gellix" w:eastAsia="Gellix" w:hAnsi="Gellix" w:cs="Gellix"/>
        </w:rPr>
        <w:t xml:space="preserve"> one to ISO/IEC 42001: </w:t>
      </w:r>
      <w:hyperlink r:id="rId17" w:history="1">
        <w:r w:rsidR="006F5814">
          <w:rPr>
            <w:rStyle w:val="Hyperlink"/>
            <w:rFonts w:ascii="Gellix" w:eastAsia="Gellix" w:hAnsi="Gellix" w:cs="Gellix"/>
          </w:rPr>
          <w:t>NIST Crosswalks</w:t>
        </w:r>
      </w:hyperlink>
      <w:r w:rsidR="00E965D6">
        <w:rPr>
          <w:rFonts w:ascii="Gellix" w:eastAsia="Gellix" w:hAnsi="Gellix" w:cs="Gellix"/>
        </w:rPr>
        <w:t xml:space="preserve">. </w:t>
      </w:r>
    </w:p>
    <w:p w14:paraId="584569C3" w14:textId="77777777" w:rsidR="00A64B31" w:rsidRPr="00EE19A2" w:rsidRDefault="00D96F8A" w:rsidP="00FB0CD2">
      <w:pPr>
        <w:spacing w:before="240" w:after="240"/>
        <w:rPr>
          <w:rFonts w:ascii="Gellix" w:eastAsia="Gellix" w:hAnsi="Gellix" w:cs="Gellix"/>
        </w:rPr>
      </w:pPr>
      <w:r>
        <w:rPr>
          <w:rFonts w:ascii="Gellix" w:eastAsia="Gellix" w:hAnsi="Gellix" w:cs="Gellix"/>
        </w:rPr>
        <w:t>Although approaches to detailed requirements such as risk assessment and management may vary across organization</w:t>
      </w:r>
      <w:r w:rsidRPr="00EE19A2">
        <w:rPr>
          <w:rFonts w:ascii="Gellix" w:eastAsia="Gellix" w:hAnsi="Gellix" w:cs="Gellix"/>
        </w:rPr>
        <w:t>s, adopting voluntary consensus-based standards (for example, the extensive work of ISO/IEC JTC 1 SC42, including ISO/IEC 42001, ISO/IEC 23894, ISO/IEC 42005, ISO/IEC 38507) can serve as a solid foundation for managing AI risks throughout the AI system’s lifecycle, and ensure an internationally consistent approach to implementation of AI laws.</w:t>
      </w:r>
    </w:p>
    <w:p w14:paraId="11151D3C" w14:textId="73A072AD" w:rsidR="0024018F" w:rsidRPr="00316409" w:rsidRDefault="00D96F8A" w:rsidP="00316409">
      <w:pPr>
        <w:pStyle w:val="ListParagraph"/>
        <w:numPr>
          <w:ilvl w:val="0"/>
          <w:numId w:val="6"/>
        </w:numPr>
        <w:spacing w:before="240" w:after="240"/>
        <w:rPr>
          <w:rFonts w:ascii="Gellix" w:eastAsia="Gellix" w:hAnsi="Gellix" w:cs="Gellix"/>
          <w:b/>
          <w:color w:val="000000"/>
        </w:rPr>
      </w:pPr>
      <w:r w:rsidRPr="00316409">
        <w:rPr>
          <w:rFonts w:ascii="Gellix" w:eastAsia="Gellix" w:hAnsi="Gellix" w:cs="Gellix"/>
          <w:b/>
          <w:color w:val="000000"/>
        </w:rPr>
        <w:t>Recommendations</w:t>
      </w:r>
    </w:p>
    <w:p w14:paraId="584569CF" w14:textId="07229064" w:rsidR="00A64B31" w:rsidRPr="0024018F" w:rsidRDefault="00D96F8A" w:rsidP="00FB0CD2">
      <w:pPr>
        <w:spacing w:before="240" w:after="240"/>
        <w:rPr>
          <w:rFonts w:ascii="Gellix" w:eastAsia="Gellix" w:hAnsi="Gellix" w:cs="Gellix"/>
          <w:b/>
          <w:color w:val="000000"/>
        </w:rPr>
      </w:pPr>
      <w:r>
        <w:rPr>
          <w:rFonts w:ascii="Gellix" w:eastAsia="Gellix" w:hAnsi="Gellix" w:cs="Gellix"/>
        </w:rPr>
        <w:t>To ensure that AI standards effectively support responsible AI governance globally, policymakers</w:t>
      </w:r>
      <w:r w:rsidR="00495B36">
        <w:rPr>
          <w:rFonts w:ascii="Gellix" w:eastAsia="Gellix" w:hAnsi="Gellix" w:cs="Gellix"/>
        </w:rPr>
        <w:t xml:space="preserve"> and different st</w:t>
      </w:r>
      <w:r w:rsidR="00440DB2">
        <w:rPr>
          <w:rFonts w:ascii="Gellix" w:eastAsia="Gellix" w:hAnsi="Gellix" w:cs="Gellix"/>
        </w:rPr>
        <w:t>a</w:t>
      </w:r>
      <w:r w:rsidR="00495B36">
        <w:rPr>
          <w:rFonts w:ascii="Gellix" w:eastAsia="Gellix" w:hAnsi="Gellix" w:cs="Gellix"/>
        </w:rPr>
        <w:t>keholders</w:t>
      </w:r>
      <w:r>
        <w:rPr>
          <w:rFonts w:ascii="Gellix" w:eastAsia="Gellix" w:hAnsi="Gellix" w:cs="Gellix"/>
        </w:rPr>
        <w:t xml:space="preserve"> should consider the following recommendations</w:t>
      </w:r>
      <w:r w:rsidR="002C72EC">
        <w:rPr>
          <w:rFonts w:ascii="Gellix" w:eastAsia="Gellix" w:hAnsi="Gellix" w:cs="Gellix"/>
        </w:rPr>
        <w:t>:</w:t>
      </w:r>
    </w:p>
    <w:p w14:paraId="584569D0" w14:textId="2E8CA7D9" w:rsidR="00A64B31" w:rsidRDefault="00D96F8A" w:rsidP="00FB0CD2">
      <w:pPr>
        <w:numPr>
          <w:ilvl w:val="0"/>
          <w:numId w:val="8"/>
        </w:numPr>
        <w:pBdr>
          <w:top w:val="nil"/>
          <w:left w:val="nil"/>
          <w:bottom w:val="nil"/>
          <w:right w:val="nil"/>
          <w:between w:val="nil"/>
        </w:pBdr>
        <w:ind w:left="714" w:hanging="357"/>
        <w:rPr>
          <w:rFonts w:ascii="Gellix" w:eastAsia="Gellix" w:hAnsi="Gellix" w:cs="Gellix"/>
          <w:color w:val="000000"/>
        </w:rPr>
      </w:pPr>
      <w:r>
        <w:rPr>
          <w:rFonts w:ascii="Gellix" w:eastAsia="Gellix" w:hAnsi="Gellix" w:cs="Gellix"/>
          <w:b/>
          <w:color w:val="000000"/>
        </w:rPr>
        <w:t>Ensure domestic/local businesses and experts’ voices are part of AI standards development</w:t>
      </w:r>
      <w:sdt>
        <w:sdtPr>
          <w:tag w:val="goog_rdk_65"/>
          <w:id w:val="-1155294649"/>
        </w:sdtPr>
        <w:sdtContent>
          <w:sdt>
            <w:sdtPr>
              <w:tag w:val="goog_rdk_66"/>
              <w:id w:val="-1782026195"/>
            </w:sdtPr>
            <w:sdtContent/>
          </w:sdt>
        </w:sdtContent>
      </w:sdt>
      <w:r w:rsidR="0024018F">
        <w:t>:</w:t>
      </w:r>
      <w:r>
        <w:rPr>
          <w:rFonts w:ascii="Gellix" w:eastAsia="Gellix" w:hAnsi="Gellix" w:cs="Gellix"/>
          <w:color w:val="000000"/>
        </w:rPr>
        <w:t xml:space="preserve"> Given the many benefits of international standards, governments should raise awareness of the opportunity to influence </w:t>
      </w:r>
      <w:r w:rsidR="00A011E8" w:rsidRPr="00A011E8">
        <w:rPr>
          <w:rFonts w:ascii="Gellix" w:eastAsia="Gellix" w:hAnsi="Gellix" w:cs="Gellix"/>
          <w:color w:val="000000"/>
          <w:lang w:val="en-US"/>
        </w:rPr>
        <w:t>market-driven standards</w:t>
      </w:r>
      <w:r>
        <w:rPr>
          <w:rFonts w:ascii="Gellix" w:eastAsia="Gellix" w:hAnsi="Gellix" w:cs="Gellix"/>
          <w:color w:val="000000"/>
        </w:rPr>
        <w:t xml:space="preserve"> and encourage local experts from all domestic sectors to participate in standards development, including</w:t>
      </w:r>
      <w:r>
        <w:rPr>
          <w:color w:val="000000"/>
        </w:rPr>
        <w:t xml:space="preserve"> </w:t>
      </w:r>
      <w:r>
        <w:rPr>
          <w:rFonts w:ascii="Gellix" w:eastAsia="Gellix" w:hAnsi="Gellix" w:cs="Gellix"/>
          <w:color w:val="000000"/>
        </w:rPr>
        <w:t xml:space="preserve">businesses that design, develop, and deploy AI systems. Industry expertise is crucial for creating practical, implementable standards that </w:t>
      </w:r>
      <w:r>
        <w:rPr>
          <w:rFonts w:ascii="Gellix" w:eastAsia="Gellix" w:hAnsi="Gellix" w:cs="Gellix"/>
          <w:color w:val="000000"/>
        </w:rPr>
        <w:lastRenderedPageBreak/>
        <w:t xml:space="preserve">align with technological advancements, and local expertise is crucial for shaping standards with local market realities. </w:t>
      </w:r>
    </w:p>
    <w:p w14:paraId="070B9EC5" w14:textId="63999978" w:rsidR="00B47264" w:rsidRPr="00686CDB" w:rsidRDefault="00B47264" w:rsidP="00316409">
      <w:pPr>
        <w:numPr>
          <w:ilvl w:val="0"/>
          <w:numId w:val="8"/>
        </w:numPr>
        <w:pBdr>
          <w:top w:val="nil"/>
          <w:left w:val="nil"/>
          <w:bottom w:val="nil"/>
          <w:right w:val="nil"/>
          <w:between w:val="nil"/>
        </w:pBdr>
        <w:spacing w:before="120"/>
        <w:ind w:left="714" w:hanging="357"/>
        <w:rPr>
          <w:rFonts w:ascii="Gellix" w:eastAsia="Gellix" w:hAnsi="Gellix" w:cs="Gellix"/>
          <w:color w:val="000000"/>
        </w:rPr>
      </w:pPr>
      <w:r w:rsidRPr="00BB3853">
        <w:rPr>
          <w:rFonts w:ascii="Gellix" w:eastAsia="Gellix" w:hAnsi="Gellix" w:cs="Gellix"/>
          <w:b/>
          <w:bCs/>
          <w:color w:val="000000"/>
        </w:rPr>
        <w:t xml:space="preserve">Prioritize industry-driven and globally recognized standards </w:t>
      </w:r>
      <w:r w:rsidR="00CE1DDF" w:rsidRPr="00CE1DDF">
        <w:rPr>
          <w:rFonts w:ascii="Gellix" w:eastAsia="Gellix" w:hAnsi="Gellix" w:cs="Gellix"/>
          <w:b/>
          <w:bCs/>
          <w:color w:val="000000"/>
        </w:rPr>
        <w:t xml:space="preserve">over strictly </w:t>
      </w:r>
      <w:r w:rsidR="0045618B">
        <w:rPr>
          <w:rFonts w:ascii="Gellix" w:eastAsia="Gellix" w:hAnsi="Gellix" w:cs="Gellix"/>
          <w:b/>
          <w:bCs/>
          <w:color w:val="000000"/>
        </w:rPr>
        <w:t xml:space="preserve">national or regional </w:t>
      </w:r>
      <w:r w:rsidR="00CE1DDF" w:rsidRPr="00CE1DDF">
        <w:rPr>
          <w:rFonts w:ascii="Gellix" w:eastAsia="Gellix" w:hAnsi="Gellix" w:cs="Gellix"/>
          <w:b/>
          <w:bCs/>
          <w:color w:val="000000"/>
        </w:rPr>
        <w:t>regulatory compliance approaches</w:t>
      </w:r>
      <w:r w:rsidRPr="00B47264">
        <w:rPr>
          <w:rFonts w:ascii="Gellix" w:eastAsia="Gellix" w:hAnsi="Gellix" w:cs="Gellix"/>
          <w:color w:val="000000"/>
        </w:rPr>
        <w:t xml:space="preserve">. An industry-led, international </w:t>
      </w:r>
      <w:r w:rsidR="00440DB2">
        <w:rPr>
          <w:rFonts w:ascii="Gellix" w:eastAsia="Gellix" w:hAnsi="Gellix" w:cs="Gellix"/>
          <w:color w:val="000000"/>
        </w:rPr>
        <w:t>standard</w:t>
      </w:r>
      <w:r w:rsidRPr="00B47264">
        <w:rPr>
          <w:rFonts w:ascii="Gellix" w:eastAsia="Gellix" w:hAnsi="Gellix" w:cs="Gellix"/>
          <w:color w:val="000000"/>
        </w:rPr>
        <w:t xml:space="preserve"> fosters interoperability, accelerates innovation, and ensures that standards remain practical, adaptable, and rooted in real-world applications.</w:t>
      </w:r>
    </w:p>
    <w:p w14:paraId="584569D1" w14:textId="460D494D" w:rsidR="00A64B31" w:rsidRDefault="00D96F8A" w:rsidP="00FB0CD2">
      <w:pPr>
        <w:numPr>
          <w:ilvl w:val="0"/>
          <w:numId w:val="8"/>
        </w:numPr>
        <w:ind w:left="714" w:hanging="357"/>
        <w:rPr>
          <w:rFonts w:ascii="Gellix" w:eastAsia="Gellix" w:hAnsi="Gellix" w:cs="Gellix"/>
        </w:rPr>
      </w:pPr>
      <w:r>
        <w:rPr>
          <w:rFonts w:ascii="Gellix" w:eastAsia="Gellix" w:hAnsi="Gellix" w:cs="Gellix"/>
          <w:b/>
        </w:rPr>
        <w:t xml:space="preserve">Champion multistakeholder collaboration in AI standardization: </w:t>
      </w:r>
      <w:r>
        <w:rPr>
          <w:rFonts w:ascii="Gellix" w:eastAsia="Gellix" w:hAnsi="Gellix" w:cs="Gellix"/>
        </w:rPr>
        <w:t>Governments should promote engaging in standards and advocate for their benefits within their countries and in multi- and bi-lateral talks. AI standards should be developed through</w:t>
      </w:r>
      <w:r w:rsidR="00FC0A21">
        <w:rPr>
          <w:rFonts w:ascii="Gellix" w:eastAsia="Gellix" w:hAnsi="Gellix" w:cs="Gellix"/>
        </w:rPr>
        <w:t xml:space="preserve"> transparent,</w:t>
      </w:r>
      <w:r>
        <w:rPr>
          <w:rFonts w:ascii="Gellix" w:eastAsia="Gellix" w:hAnsi="Gellix" w:cs="Gellix"/>
        </w:rPr>
        <w:t xml:space="preserve"> inclusive,</w:t>
      </w:r>
      <w:r w:rsidR="00FC0A21">
        <w:rPr>
          <w:rFonts w:ascii="Gellix" w:eastAsia="Gellix" w:hAnsi="Gellix" w:cs="Gellix"/>
        </w:rPr>
        <w:t xml:space="preserve"> and</w:t>
      </w:r>
      <w:r>
        <w:rPr>
          <w:rFonts w:ascii="Gellix" w:eastAsia="Gellix" w:hAnsi="Gellix" w:cs="Gellix"/>
        </w:rPr>
        <w:t xml:space="preserve"> multistakeholder processes that involve volunteers from any sector: industry leaders, academia, civil society, and policymakers. This ensures that standards are robust, balanced, and reflective of diverse perspectives, enhancing their legitimacy and adoption. AI is a global technology, and regulatory fragmentation can hinder innovation and cross-border collaboration. At the same time, fragmentation can also impose complexity at compliance level, and costs, especially for </w:t>
      </w:r>
      <w:r w:rsidR="00B54536">
        <w:rPr>
          <w:rFonts w:ascii="Gellix" w:eastAsia="Gellix" w:hAnsi="Gellix" w:cs="Gellix"/>
        </w:rPr>
        <w:t>SMEs</w:t>
      </w:r>
      <w:r>
        <w:rPr>
          <w:rFonts w:ascii="Gellix" w:eastAsia="Gellix" w:hAnsi="Gellix" w:cs="Gellix"/>
        </w:rPr>
        <w:t>.</w:t>
      </w:r>
    </w:p>
    <w:p w14:paraId="584569D2" w14:textId="20DEEB43" w:rsidR="00A64B31" w:rsidRDefault="00D96F8A" w:rsidP="00FB0CD2">
      <w:pPr>
        <w:numPr>
          <w:ilvl w:val="0"/>
          <w:numId w:val="8"/>
        </w:numPr>
        <w:pBdr>
          <w:top w:val="nil"/>
          <w:left w:val="nil"/>
          <w:bottom w:val="nil"/>
          <w:right w:val="nil"/>
          <w:between w:val="nil"/>
        </w:pBdr>
        <w:rPr>
          <w:rFonts w:ascii="Gellix" w:eastAsia="Gellix" w:hAnsi="Gellix" w:cs="Gellix"/>
        </w:rPr>
      </w:pPr>
      <w:r>
        <w:rPr>
          <w:rFonts w:ascii="Gellix" w:eastAsia="Gellix" w:hAnsi="Gellix" w:cs="Gellix"/>
          <w:b/>
          <w:color w:val="000000"/>
        </w:rPr>
        <w:t xml:space="preserve">Leverage existing standards: </w:t>
      </w:r>
      <w:r>
        <w:rPr>
          <w:rFonts w:ascii="Gellix" w:eastAsia="Gellix" w:hAnsi="Gellix" w:cs="Gellix"/>
          <w:color w:val="000000"/>
        </w:rPr>
        <w:t>AI regulatory or other governance</w:t>
      </w:r>
      <w:r>
        <w:t xml:space="preserve"> </w:t>
      </w:r>
      <w:r>
        <w:rPr>
          <w:rFonts w:ascii="Gellix" w:eastAsia="Gellix" w:hAnsi="Gellix" w:cs="Gellix"/>
          <w:color w:val="000000"/>
        </w:rPr>
        <w:t>initiatives  should reference published standards, such as  ISO/IEC 23894 (based on the widely accepted standard ISO 31000)</w:t>
      </w:r>
      <w:r w:rsidR="00670207">
        <w:rPr>
          <w:rFonts w:ascii="Gellix" w:eastAsia="Gellix" w:hAnsi="Gellix" w:cs="Gellix"/>
          <w:color w:val="000000"/>
        </w:rPr>
        <w:t>,</w:t>
      </w:r>
      <w:r>
        <w:rPr>
          <w:rFonts w:ascii="Gellix" w:eastAsia="Gellix" w:hAnsi="Gellix" w:cs="Gellix"/>
          <w:color w:val="000000"/>
        </w:rPr>
        <w:t xml:space="preserve"> ISO/IEC 42001 on AI risk management (analogous to ISO/IEC 27001 for information security), and ISO/IEC 42005 (AI system impact assessment</w:t>
      </w:r>
      <w:r w:rsidR="002A7005">
        <w:rPr>
          <w:rFonts w:ascii="Gellix" w:eastAsia="Gellix" w:hAnsi="Gellix" w:cs="Gellix"/>
          <w:color w:val="000000"/>
        </w:rPr>
        <w:t>, which covers a compl</w:t>
      </w:r>
      <w:r w:rsidR="004D2F82">
        <w:rPr>
          <w:rFonts w:ascii="Gellix" w:eastAsia="Gellix" w:hAnsi="Gellix" w:cs="Gellix"/>
          <w:color w:val="000000"/>
        </w:rPr>
        <w:t>e</w:t>
      </w:r>
      <w:r w:rsidR="002A7005">
        <w:rPr>
          <w:rFonts w:ascii="Gellix" w:eastAsia="Gellix" w:hAnsi="Gellix" w:cs="Gellix"/>
          <w:color w:val="000000"/>
        </w:rPr>
        <w:t xml:space="preserve">mentary </w:t>
      </w:r>
      <w:r w:rsidR="00C17645">
        <w:rPr>
          <w:rFonts w:ascii="Gellix" w:eastAsia="Gellix" w:hAnsi="Gellix" w:cs="Gellix"/>
          <w:color w:val="000000"/>
        </w:rPr>
        <w:t>angle to risk management</w:t>
      </w:r>
      <w:r w:rsidR="006B06E7">
        <w:rPr>
          <w:rFonts w:ascii="Gellix" w:eastAsia="Gellix" w:hAnsi="Gellix" w:cs="Gellix"/>
          <w:color w:val="000000"/>
        </w:rPr>
        <w:t xml:space="preserve">, considering </w:t>
      </w:r>
      <w:r w:rsidR="00F4665E">
        <w:rPr>
          <w:rFonts w:ascii="Gellix" w:eastAsia="Gellix" w:hAnsi="Gellix" w:cs="Gellix"/>
          <w:color w:val="000000"/>
        </w:rPr>
        <w:t>harms and benefits of AI systems to individuals, societies, and the environment</w:t>
      </w:r>
      <w:r>
        <w:rPr>
          <w:rFonts w:ascii="Gellix" w:eastAsia="Gellix" w:hAnsi="Gellix" w:cs="Gellix"/>
          <w:color w:val="000000"/>
        </w:rPr>
        <w:t xml:space="preserve">) and encourage voluntary adoption on a wider scale and as a means of demonstrating responsible business practices and providing assurance to consumers and citizens. </w:t>
      </w:r>
      <w:r w:rsidR="00250CD4" w:rsidRPr="0017070D">
        <w:rPr>
          <w:rFonts w:ascii="Gellix" w:eastAsia="Gellix" w:hAnsi="Gellix" w:cs="Gellix"/>
          <w:color w:val="000000"/>
        </w:rPr>
        <w:t>This approach not only fosters trust but also streamlines compliance processes, enhancing the credibility and effectiveness of AI governance frameworks.</w:t>
      </w:r>
      <w:r w:rsidR="00821CA1" w:rsidRPr="00250CD4">
        <w:rPr>
          <w:rFonts w:ascii="Gellix" w:eastAsia="Gellix" w:hAnsi="Gellix" w:cs="Gellix"/>
          <w:color w:val="000000"/>
        </w:rPr>
        <w:t xml:space="preserve"> </w:t>
      </w:r>
      <w:r>
        <w:rPr>
          <w:rFonts w:ascii="Gellix" w:eastAsia="Gellix" w:hAnsi="Gellix" w:cs="Gellix"/>
          <w:color w:val="000000"/>
        </w:rPr>
        <w:t>In addition, many existing industry-driven standards already provide guidance on AI governance, risk management, and security considerations. Policymakers should recognize and incorporate these standards into governance frameworks to avoid duplication of efforts and ensure regulatory coherence.</w:t>
      </w:r>
    </w:p>
    <w:p w14:paraId="584569D3" w14:textId="66A08BE7" w:rsidR="00A64B31" w:rsidRDefault="00D96F8A" w:rsidP="00FB0CD2">
      <w:pPr>
        <w:numPr>
          <w:ilvl w:val="0"/>
          <w:numId w:val="7"/>
        </w:numPr>
        <w:pBdr>
          <w:top w:val="nil"/>
          <w:left w:val="nil"/>
          <w:bottom w:val="nil"/>
          <w:right w:val="nil"/>
          <w:between w:val="nil"/>
        </w:pBdr>
        <w:rPr>
          <w:rFonts w:ascii="Gellix" w:eastAsia="Gellix" w:hAnsi="Gellix" w:cs="Gellix"/>
          <w:color w:val="000000"/>
        </w:rPr>
      </w:pPr>
      <w:r>
        <w:rPr>
          <w:rFonts w:ascii="Gellix" w:eastAsia="Gellix" w:hAnsi="Gellix" w:cs="Gellix"/>
          <w:b/>
          <w:color w:val="000000"/>
        </w:rPr>
        <w:t xml:space="preserve">Use standards in public sector procurement: </w:t>
      </w:r>
      <w:r>
        <w:rPr>
          <w:rFonts w:ascii="Gellix" w:eastAsia="Gellix" w:hAnsi="Gellix" w:cs="Gellix"/>
          <w:color w:val="000000"/>
        </w:rPr>
        <w:t xml:space="preserve">Governments should incorporate widely supported AI standards into </w:t>
      </w:r>
      <w:r w:rsidR="00C771CF">
        <w:rPr>
          <w:rFonts w:ascii="Gellix" w:eastAsia="Gellix" w:hAnsi="Gellix" w:cs="Gellix"/>
          <w:color w:val="000000"/>
        </w:rPr>
        <w:t xml:space="preserve">their </w:t>
      </w:r>
      <w:r w:rsidR="00BD1443">
        <w:rPr>
          <w:rFonts w:ascii="Gellix" w:eastAsia="Gellix" w:hAnsi="Gellix" w:cs="Gellix"/>
          <w:color w:val="000000"/>
        </w:rPr>
        <w:t xml:space="preserve">own </w:t>
      </w:r>
      <w:r w:rsidR="00C771CF">
        <w:rPr>
          <w:rFonts w:ascii="Gellix" w:eastAsia="Gellix" w:hAnsi="Gellix" w:cs="Gellix"/>
          <w:color w:val="000000"/>
        </w:rPr>
        <w:t>policies and</w:t>
      </w:r>
      <w:r w:rsidR="0042066F">
        <w:rPr>
          <w:rFonts w:ascii="Gellix" w:eastAsia="Gellix" w:hAnsi="Gellix" w:cs="Gellix"/>
          <w:color w:val="000000"/>
        </w:rPr>
        <w:t xml:space="preserve"> </w:t>
      </w:r>
      <w:r>
        <w:rPr>
          <w:rFonts w:ascii="Gellix" w:eastAsia="Gellix" w:hAnsi="Gellix" w:cs="Gellix"/>
          <w:color w:val="000000"/>
        </w:rPr>
        <w:t xml:space="preserve">public procurement requirements </w:t>
      </w:r>
      <w:r w:rsidR="00191968" w:rsidRPr="00191968">
        <w:rPr>
          <w:rFonts w:ascii="Gellix" w:eastAsia="Gellix" w:hAnsi="Gellix" w:cs="Gellix"/>
          <w:color w:val="000000"/>
        </w:rPr>
        <w:t>instead of creating government-unique standards or technical requirements.</w:t>
      </w:r>
      <w:r w:rsidR="00441E4F">
        <w:rPr>
          <w:rFonts w:ascii="Gellix" w:eastAsia="Gellix" w:hAnsi="Gellix" w:cs="Gellix"/>
          <w:color w:val="000000"/>
        </w:rPr>
        <w:t xml:space="preserve"> </w:t>
      </w:r>
      <w:r>
        <w:rPr>
          <w:rFonts w:ascii="Gellix" w:eastAsia="Gellix" w:hAnsi="Gellix" w:cs="Gellix"/>
          <w:color w:val="000000"/>
        </w:rPr>
        <w:t xml:space="preserve">Clear and accessible procurement rules are essential for businesses, especially SMEs, looking to enter new markets. By making these regulations easy to understand and comply with, governments can foster greater market participation and drive economic growth. Recognizing compliance with </w:t>
      </w:r>
      <w:r>
        <w:rPr>
          <w:rFonts w:ascii="Gellix" w:eastAsia="Gellix" w:hAnsi="Gellix" w:cs="Gellix"/>
          <w:color w:val="000000"/>
        </w:rPr>
        <w:lastRenderedPageBreak/>
        <w:t xml:space="preserve">established  AI governance standards, </w:t>
      </w:r>
      <w:r w:rsidR="005E7D38" w:rsidRPr="005E7D38">
        <w:rPr>
          <w:rFonts w:ascii="Gellix" w:eastAsia="Gellix" w:hAnsi="Gellix" w:cs="Gellix"/>
          <w:color w:val="000000"/>
        </w:rPr>
        <w:t>while also supporting a diverse standardization ecosystem</w:t>
      </w:r>
      <w:r w:rsidR="005E7D38">
        <w:rPr>
          <w:rFonts w:ascii="Gellix" w:eastAsia="Gellix" w:hAnsi="Gellix" w:cs="Gellix"/>
          <w:color w:val="000000"/>
        </w:rPr>
        <w:t xml:space="preserve">, </w:t>
      </w:r>
      <w:r>
        <w:rPr>
          <w:rFonts w:ascii="Gellix" w:eastAsia="Gellix" w:hAnsi="Gellix" w:cs="Gellix"/>
          <w:color w:val="000000"/>
        </w:rPr>
        <w:t>public sector entities can lead by example and encourage broader industry uptake.</w:t>
      </w:r>
    </w:p>
    <w:p w14:paraId="76C8038A" w14:textId="458DDE1D" w:rsidR="00207597" w:rsidRDefault="00207597" w:rsidP="00207597">
      <w:pPr>
        <w:numPr>
          <w:ilvl w:val="0"/>
          <w:numId w:val="7"/>
        </w:numPr>
        <w:pBdr>
          <w:top w:val="nil"/>
          <w:left w:val="nil"/>
          <w:bottom w:val="nil"/>
          <w:right w:val="nil"/>
          <w:between w:val="nil"/>
        </w:pBdr>
        <w:spacing w:before="120"/>
        <w:rPr>
          <w:rFonts w:ascii="Gellix" w:eastAsia="Gellix" w:hAnsi="Gellix" w:cs="Gellix"/>
          <w:color w:val="000000"/>
        </w:rPr>
      </w:pPr>
      <w:r w:rsidRPr="00853C19">
        <w:rPr>
          <w:rFonts w:ascii="Gellix" w:eastAsia="Gellix" w:hAnsi="Gellix" w:cs="Gellix"/>
          <w:b/>
          <w:bCs/>
          <w:color w:val="000000"/>
        </w:rPr>
        <w:t>Support the participation of companies in standardisation efforts through funding</w:t>
      </w:r>
      <w:r w:rsidR="002E1C1A">
        <w:rPr>
          <w:rFonts w:ascii="Gellix" w:eastAsia="Gellix" w:hAnsi="Gellix" w:cs="Gellix"/>
          <w:b/>
          <w:bCs/>
          <w:color w:val="000000"/>
        </w:rPr>
        <w:t xml:space="preserve"> to participate</w:t>
      </w:r>
      <w:r w:rsidRPr="00853C19">
        <w:rPr>
          <w:rFonts w:ascii="Gellix" w:eastAsia="Gellix" w:hAnsi="Gellix" w:cs="Gellix"/>
          <w:b/>
          <w:bCs/>
          <w:color w:val="000000"/>
        </w:rPr>
        <w:t>, tax incentives, training, and other resources</w:t>
      </w:r>
      <w:r w:rsidRPr="00610E89">
        <w:rPr>
          <w:rFonts w:ascii="Gellix" w:eastAsia="Gellix" w:hAnsi="Gellix" w:cs="Gellix"/>
          <w:color w:val="000000"/>
        </w:rPr>
        <w:t>. This not only fosters R&amp;D but also facilitates the transition from research to practical application.</w:t>
      </w:r>
    </w:p>
    <w:p w14:paraId="561E67C1" w14:textId="2B9B1398" w:rsidR="00250CD4" w:rsidRPr="00CC7A64" w:rsidRDefault="007802E8" w:rsidP="00FB0CD2">
      <w:pPr>
        <w:pStyle w:val="ListParagraph"/>
        <w:numPr>
          <w:ilvl w:val="0"/>
          <w:numId w:val="7"/>
        </w:numPr>
        <w:spacing w:line="240" w:lineRule="auto"/>
        <w:rPr>
          <w:rFonts w:ascii="Gellix" w:eastAsia="Times New Roman" w:hAnsi="Gellix" w:cs="Times New Roman"/>
          <w:lang w:eastAsia="da-DK"/>
        </w:rPr>
      </w:pPr>
      <w:r w:rsidRPr="00CC7A64">
        <w:rPr>
          <w:rFonts w:ascii="Gellix" w:hAnsi="Gellix"/>
          <w:b/>
          <w:bCs/>
        </w:rPr>
        <w:t>E</w:t>
      </w:r>
      <w:r w:rsidR="00250CD4" w:rsidRPr="00CC7A64">
        <w:rPr>
          <w:rFonts w:ascii="Gellix" w:eastAsia="Times New Roman" w:hAnsi="Gellix" w:cs="Times New Roman"/>
          <w:b/>
          <w:bCs/>
          <w:lang w:eastAsia="da-DK"/>
        </w:rPr>
        <w:t xml:space="preserve">nhancing </w:t>
      </w:r>
      <w:r>
        <w:rPr>
          <w:rFonts w:ascii="Gellix" w:eastAsia="Times New Roman" w:hAnsi="Gellix" w:cs="Times New Roman"/>
          <w:b/>
          <w:bCs/>
          <w:lang w:eastAsia="da-DK"/>
        </w:rPr>
        <w:t>a</w:t>
      </w:r>
      <w:r w:rsidR="00250CD4" w:rsidRPr="00CC7A64">
        <w:rPr>
          <w:rFonts w:ascii="Gellix" w:eastAsia="Times New Roman" w:hAnsi="Gellix" w:cs="Times New Roman"/>
          <w:b/>
          <w:bCs/>
          <w:lang w:eastAsia="da-DK"/>
        </w:rPr>
        <w:t xml:space="preserve">wareness and </w:t>
      </w:r>
      <w:r>
        <w:rPr>
          <w:rFonts w:ascii="Gellix" w:eastAsia="Times New Roman" w:hAnsi="Gellix" w:cs="Times New Roman"/>
          <w:b/>
          <w:bCs/>
          <w:lang w:eastAsia="da-DK"/>
        </w:rPr>
        <w:t>e</w:t>
      </w:r>
      <w:r w:rsidR="00250CD4" w:rsidRPr="00CC7A64">
        <w:rPr>
          <w:rFonts w:ascii="Gellix" w:eastAsia="Times New Roman" w:hAnsi="Gellix" w:cs="Times New Roman"/>
          <w:b/>
          <w:bCs/>
          <w:lang w:eastAsia="da-DK"/>
        </w:rPr>
        <w:t>ducation</w:t>
      </w:r>
      <w:r w:rsidR="00250CD4" w:rsidRPr="00CC7A64">
        <w:rPr>
          <w:rFonts w:ascii="Gellix" w:eastAsia="Times New Roman" w:hAnsi="Gellix" w:cs="Times New Roman"/>
          <w:lang w:eastAsia="da-DK"/>
        </w:rPr>
        <w:t>: To overcome the challenges associated with the adoption of AI standards, it is imperative to enhance awareness and educational initiatives. Governments and industry leaders should invest in training programmes and workshops to build technical expertise around AI standards</w:t>
      </w:r>
      <w:r w:rsidR="00F16788">
        <w:rPr>
          <w:rFonts w:ascii="Gellix" w:eastAsia="Times New Roman" w:hAnsi="Gellix" w:cs="Times New Roman"/>
          <w:lang w:eastAsia="da-DK"/>
        </w:rPr>
        <w:t xml:space="preserve"> and guidance</w:t>
      </w:r>
      <w:r w:rsidR="00250CD4" w:rsidRPr="00CC7A64">
        <w:rPr>
          <w:rFonts w:ascii="Gellix" w:eastAsia="Times New Roman" w:hAnsi="Gellix" w:cs="Times New Roman"/>
          <w:lang w:eastAsia="da-DK"/>
        </w:rPr>
        <w:t>. By doing so, organisations can better implement these standards, thereby facilitating smoother integration into existing systems and promoting global interoperability.</w:t>
      </w:r>
    </w:p>
    <w:p w14:paraId="584569D4" w14:textId="77777777" w:rsidR="00A64B31" w:rsidRDefault="00D96F8A" w:rsidP="00FB0CD2">
      <w:pPr>
        <w:spacing w:after="240"/>
        <w:rPr>
          <w:color w:val="000000"/>
        </w:rPr>
      </w:pPr>
      <w:r>
        <w:t xml:space="preserve">     </w:t>
      </w:r>
    </w:p>
    <w:p w14:paraId="584569D5" w14:textId="77777777" w:rsidR="00A64B31" w:rsidRDefault="00D96F8A" w:rsidP="00FB0CD2">
      <w:pPr>
        <w:rPr>
          <w:rFonts w:ascii="Gellix" w:eastAsia="Gellix" w:hAnsi="Gellix" w:cs="Gellix"/>
        </w:rPr>
      </w:pPr>
      <w:r>
        <w:t xml:space="preserve">     </w:t>
      </w:r>
    </w:p>
    <w:sectPr w:rsidR="00A64B31">
      <w:headerReference w:type="default" r:id="rId18"/>
      <w:footerReference w:type="even" r:id="rId19"/>
      <w:footerReference w:type="default" r:id="rId20"/>
      <w:headerReference w:type="first" r:id="rId21"/>
      <w:footerReference w:type="first" r:id="rId22"/>
      <w:pgSz w:w="11909" w:h="16834"/>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D31F65" w14:textId="77777777" w:rsidR="002502B2" w:rsidRDefault="002502B2">
      <w:pPr>
        <w:spacing w:line="240" w:lineRule="auto"/>
      </w:pPr>
      <w:r>
        <w:separator/>
      </w:r>
    </w:p>
  </w:endnote>
  <w:endnote w:type="continuationSeparator" w:id="0">
    <w:p w14:paraId="60ADF4DB" w14:textId="77777777" w:rsidR="002502B2" w:rsidRDefault="002502B2">
      <w:pPr>
        <w:spacing w:line="240" w:lineRule="auto"/>
      </w:pPr>
      <w:r>
        <w:continuationSeparator/>
      </w:r>
    </w:p>
  </w:endnote>
  <w:endnote w:type="continuationNotice" w:id="1">
    <w:p w14:paraId="26FE2900" w14:textId="77777777" w:rsidR="002502B2" w:rsidRDefault="002502B2">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1FE7225F-842E-410A-A4FB-6A7BFF3BADD4}"/>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llix">
    <w:panose1 w:val="00000000000000000000"/>
    <w:charset w:val="00"/>
    <w:family w:val="modern"/>
    <w:notTrueType/>
    <w:pitch w:val="variable"/>
    <w:sig w:usb0="A10000EF" w:usb1="0000207A" w:usb2="00000000" w:usb3="00000000" w:csb0="00000093" w:csb1="00000000"/>
  </w:font>
  <w:font w:name="ヒラギノ角ゴ Pro W3">
    <w:charset w:val="80"/>
    <w:family w:val="swiss"/>
    <w:pitch w:val="variable"/>
    <w:sig w:usb0="E00002FF" w:usb1="7AC7FFFF" w:usb2="00000012" w:usb3="00000000" w:csb0="0002000D"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embedRegular r:id="rId2" w:fontKey="{AC4DE872-3739-4C9E-94CB-BF2F9C8A182C}"/>
  </w:font>
  <w:font w:name="Cambria">
    <w:panose1 w:val="02040503050406030204"/>
    <w:charset w:val="00"/>
    <w:family w:val="roman"/>
    <w:pitch w:val="variable"/>
    <w:sig w:usb0="E00006FF" w:usb1="420024FF" w:usb2="02000000" w:usb3="00000000" w:csb0="0000019F" w:csb1="00000000"/>
    <w:embedRegular r:id="rId3" w:fontKey="{0AB98459-636B-4D8F-8DD8-2CA59F28380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EEDD06" w14:textId="7990D4AD" w:rsidR="0063799B" w:rsidRDefault="0063799B">
    <w:pPr>
      <w:pStyle w:val="Footer"/>
    </w:pPr>
    <w:r>
      <w:rPr>
        <w:noProof/>
      </w:rPr>
      <mc:AlternateContent>
        <mc:Choice Requires="wps">
          <w:drawing>
            <wp:anchor distT="0" distB="0" distL="0" distR="0" simplePos="0" relativeHeight="251658241" behindDoc="0" locked="0" layoutInCell="1" allowOverlap="1" wp14:anchorId="443BEBBB" wp14:editId="3642B0E0">
              <wp:simplePos x="635" y="635"/>
              <wp:positionH relativeFrom="page">
                <wp:align>left</wp:align>
              </wp:positionH>
              <wp:positionV relativeFrom="page">
                <wp:align>bottom</wp:align>
              </wp:positionV>
              <wp:extent cx="3051175" cy="425450"/>
              <wp:effectExtent l="0" t="0" r="15875" b="0"/>
              <wp:wrapNone/>
              <wp:docPr id="1870210521" name="Text Box 2" descr="***Este documento está clasificado como PUBLICO por TELEFÓNICA.&#10;***This document is classified as PUBLIC by TELEFÓNICA.">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3051175" cy="425450"/>
                      </a:xfrm>
                      <a:prstGeom prst="rect">
                        <a:avLst/>
                      </a:prstGeom>
                      <a:noFill/>
                      <a:ln>
                        <a:noFill/>
                      </a:ln>
                    </wps:spPr>
                    <wps:txbx>
                      <w:txbxContent>
                        <w:p w14:paraId="1D591BAF" w14:textId="77777777" w:rsidR="0063799B" w:rsidRPr="00D55892" w:rsidRDefault="0063799B" w:rsidP="0063799B">
                          <w:pPr>
                            <w:rPr>
                              <w:noProof/>
                              <w:color w:val="000000"/>
                              <w:sz w:val="14"/>
                              <w:szCs w:val="14"/>
                              <w:lang w:val="es-ES"/>
                            </w:rPr>
                          </w:pPr>
                          <w:r w:rsidRPr="00D55892">
                            <w:rPr>
                              <w:noProof/>
                              <w:color w:val="000000"/>
                              <w:sz w:val="14"/>
                              <w:szCs w:val="14"/>
                              <w:lang w:val="es-ES"/>
                            </w:rPr>
                            <w:t>***Este documento está clasificado como PUBLICO por TELEFÓNICA.</w:t>
                          </w:r>
                        </w:p>
                        <w:p w14:paraId="5F37DA75" w14:textId="7E87D79F" w:rsidR="0063799B" w:rsidRPr="0063799B" w:rsidRDefault="0063799B" w:rsidP="0063799B">
                          <w:pPr>
                            <w:rPr>
                              <w:noProof/>
                              <w:color w:val="000000"/>
                              <w:sz w:val="14"/>
                              <w:szCs w:val="14"/>
                            </w:rPr>
                          </w:pPr>
                          <w:r w:rsidRPr="0063799B">
                            <w:rPr>
                              <w:noProof/>
                              <w:color w:val="000000"/>
                              <w:sz w:val="14"/>
                              <w:szCs w:val="14"/>
                            </w:rPr>
                            <w:t>***This document is classified as PUBLIC by TELEFÓNICA.</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443BEBBB" id="_x0000_t202" coordsize="21600,21600" o:spt="202" path="m,l,21600r21600,l21600,xe">
              <v:stroke joinstyle="miter"/>
              <v:path gradientshapeok="t" o:connecttype="rect"/>
            </v:shapetype>
            <v:shape id="Text Box 2" o:spid="_x0000_s1026" type="#_x0000_t202" alt="***Este documento está clasificado como PUBLICO por TELEFÓNICA.&#10;***This document is classified as PUBLIC by TELEFÓNICA." style="position:absolute;margin-left:0;margin-top:0;width:240.25pt;height:33.5pt;z-index:251658242;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" filled="f" stroked="f">
              <v:textbox style="mso-fit-shape-to-text:t" inset="20pt,0,0,15pt">
                <w:txbxContent>
                  <w:p w14:paraId="1D591BAF" w14:textId="77777777" w:rsidR="0063799B" w:rsidRPr="00D55892" w:rsidRDefault="0063799B" w:rsidP="0063799B">
                    <w:pPr>
                      <w:rPr>
                        <w:noProof/>
                        <w:color w:val="000000"/>
                        <w:sz w:val="14"/>
                        <w:szCs w:val="14"/>
                        <w:lang w:val="es-ES"/>
                      </w:rPr>
                    </w:pPr>
                    <w:r w:rsidRPr="00D55892">
                      <w:rPr>
                        <w:noProof/>
                        <w:color w:val="000000"/>
                        <w:sz w:val="14"/>
                        <w:szCs w:val="14"/>
                        <w:lang w:val="es-ES"/>
                      </w:rPr>
                      <w:t>***Este documento está clasificado como PUBLICO por TELEFÓNICA.</w:t>
                    </w:r>
                  </w:p>
                  <w:p w14:paraId="5F37DA75" w14:textId="7E87D79F" w:rsidR="0063799B" w:rsidRPr="0063799B" w:rsidRDefault="0063799B" w:rsidP="0063799B">
                    <w:pPr>
                      <w:rPr>
                        <w:noProof/>
                        <w:color w:val="000000"/>
                        <w:sz w:val="14"/>
                        <w:szCs w:val="14"/>
                      </w:rPr>
                    </w:pPr>
                    <w:r w:rsidRPr="0063799B">
                      <w:rPr>
                        <w:noProof/>
                        <w:color w:val="000000"/>
                        <w:sz w:val="14"/>
                        <w:szCs w:val="14"/>
                      </w:rPr>
                      <w:t>***This document is classified as PUBLIC by TELEFÓNICA.</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4569E6" w14:textId="7E088701" w:rsidR="00A64B31" w:rsidRDefault="0063799B">
    <w:pPr>
      <w:pBdr>
        <w:top w:val="nil"/>
        <w:left w:val="nil"/>
        <w:bottom w:val="nil"/>
        <w:right w:val="nil"/>
        <w:between w:val="nil"/>
      </w:pBdr>
      <w:jc w:val="center"/>
      <w:rPr>
        <w:rFonts w:ascii="Gellix" w:eastAsia="Gellix" w:hAnsi="Gellix" w:cs="Gellix"/>
        <w:color w:val="000000"/>
        <w:sz w:val="16"/>
        <w:szCs w:val="16"/>
      </w:rPr>
    </w:pPr>
    <w:r>
      <w:rPr>
        <w:rFonts w:ascii="Gellix" w:eastAsia="Gellix" w:hAnsi="Gellix" w:cs="Gellix"/>
        <w:noProof/>
        <w:sz w:val="16"/>
        <w:szCs w:val="16"/>
      </w:rPr>
      <mc:AlternateContent>
        <mc:Choice Requires="wps">
          <w:drawing>
            <wp:anchor distT="0" distB="0" distL="0" distR="0" simplePos="0" relativeHeight="251658240" behindDoc="0" locked="0" layoutInCell="1" allowOverlap="1" wp14:anchorId="443DADA2" wp14:editId="6AD49A52">
              <wp:simplePos x="914400" y="9928860"/>
              <wp:positionH relativeFrom="page">
                <wp:align>left</wp:align>
              </wp:positionH>
              <wp:positionV relativeFrom="page">
                <wp:align>bottom</wp:align>
              </wp:positionV>
              <wp:extent cx="3051175" cy="425450"/>
              <wp:effectExtent l="0" t="0" r="15875" b="0"/>
              <wp:wrapNone/>
              <wp:docPr id="1842957030" name="Text Box 3" descr="***Este documento está clasificado como PUBLICO por TELEFÓNICA.&#10;***This document is classified as PUBLIC by TELEFÓNICA.">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3051175" cy="425450"/>
                      </a:xfrm>
                      <a:prstGeom prst="rect">
                        <a:avLst/>
                      </a:prstGeom>
                      <a:noFill/>
                      <a:ln>
                        <a:noFill/>
                      </a:ln>
                    </wps:spPr>
                    <wps:txbx>
                      <w:txbxContent>
                        <w:p w14:paraId="739776B1" w14:textId="057B5173" w:rsidR="0063799B" w:rsidRPr="0063799B" w:rsidRDefault="0063799B" w:rsidP="0063799B">
                          <w:pPr>
                            <w:rPr>
                              <w:noProof/>
                              <w:color w:val="000000"/>
                              <w:sz w:val="14"/>
                              <w:szCs w:val="14"/>
                            </w:rPr>
                          </w:pP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443DADA2" id="_x0000_t202" coordsize="21600,21600" o:spt="202" path="m,l,21600r21600,l21600,xe">
              <v:stroke joinstyle="miter"/>
              <v:path gradientshapeok="t" o:connecttype="rect"/>
            </v:shapetype>
            <v:shape id="Text Box 3" o:spid="_x0000_s1027" type="#_x0000_t202" alt="***Este documento está clasificado como PUBLICO por TELEFÓNICA.&#10;***This document is classified as PUBLIC by TELEFÓNICA." style="position:absolute;left:0;text-align:left;margin-left:0;margin-top:0;width:240.25pt;height:33.5pt;z-index:251658241;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" filled="f" stroked="f">
              <v:textbox style="mso-fit-shape-to-text:t" inset="20pt,0,0,15pt">
                <w:txbxContent>
                  <w:p w14:paraId="739776B1" w14:textId="057B5173" w:rsidR="0063799B" w:rsidRPr="0063799B" w:rsidRDefault="0063799B" w:rsidP="0063799B">
                    <w:pPr>
                      <w:rPr>
                        <w:noProof/>
                        <w:color w:val="000000"/>
                        <w:sz w:val="14"/>
                        <w:szCs w:val="14"/>
                      </w:rPr>
                    </w:pPr>
                  </w:p>
                </w:txbxContent>
              </v:textbox>
              <w10:wrap anchorx="page" anchory="page"/>
            </v:shape>
          </w:pict>
        </mc:Fallback>
      </mc:AlternateContent>
    </w:r>
    <w:r w:rsidR="00CC7A64">
      <w:rPr>
        <w:rFonts w:ascii="Gellix" w:eastAsia="Gellix" w:hAnsi="Gellix" w:cs="Gellix"/>
        <w:color w:val="000000"/>
        <w:sz w:val="16"/>
        <w:szCs w:val="16"/>
      </w:rPr>
      <w:t>June</w:t>
    </w:r>
    <w:r w:rsidR="0044294C">
      <w:rPr>
        <w:rFonts w:ascii="Gellix" w:eastAsia="Gellix" w:hAnsi="Gellix" w:cs="Gellix"/>
        <w:color w:val="000000"/>
        <w:sz w:val="16"/>
        <w:szCs w:val="16"/>
      </w:rPr>
      <w:t xml:space="preserve"> </w:t>
    </w:r>
    <w:r w:rsidR="00D96F8A">
      <w:rPr>
        <w:rFonts w:ascii="Gellix" w:eastAsia="Gellix" w:hAnsi="Gellix" w:cs="Gellix"/>
        <w:color w:val="000000"/>
        <w:sz w:val="16"/>
        <w:szCs w:val="16"/>
      </w:rPr>
      <w:t xml:space="preserve">2025 | ICC Paper on AI and standards | </w:t>
    </w:r>
    <w:r w:rsidR="00D96F8A">
      <w:rPr>
        <w:rFonts w:ascii="Gellix" w:eastAsia="Gellix" w:hAnsi="Gellix" w:cs="Gellix"/>
        <w:b/>
        <w:color w:val="000000"/>
        <w:sz w:val="16"/>
        <w:szCs w:val="16"/>
      </w:rPr>
      <w:fldChar w:fldCharType="begin"/>
    </w:r>
    <w:r w:rsidR="00D96F8A">
      <w:rPr>
        <w:rFonts w:ascii="Gellix" w:eastAsia="Gellix" w:hAnsi="Gellix" w:cs="Gellix"/>
        <w:b/>
        <w:color w:val="000000"/>
        <w:sz w:val="16"/>
        <w:szCs w:val="16"/>
      </w:rPr>
      <w:instrText>PAGE</w:instrText>
    </w:r>
    <w:r w:rsidR="00D96F8A">
      <w:rPr>
        <w:rFonts w:ascii="Gellix" w:eastAsia="Gellix" w:hAnsi="Gellix" w:cs="Gellix"/>
        <w:b/>
        <w:color w:val="000000"/>
        <w:sz w:val="16"/>
        <w:szCs w:val="16"/>
      </w:rPr>
      <w:fldChar w:fldCharType="separate"/>
    </w:r>
    <w:r w:rsidR="00766529">
      <w:rPr>
        <w:rFonts w:ascii="Gellix" w:eastAsia="Gellix" w:hAnsi="Gellix" w:cs="Gellix"/>
        <w:b/>
        <w:noProof/>
        <w:color w:val="000000"/>
        <w:sz w:val="16"/>
        <w:szCs w:val="16"/>
      </w:rPr>
      <w:t>2</w:t>
    </w:r>
    <w:r w:rsidR="00D96F8A">
      <w:rPr>
        <w:rFonts w:ascii="Gellix" w:eastAsia="Gellix" w:hAnsi="Gellix" w:cs="Gellix"/>
        <w:b/>
        <w:color w:val="000000"/>
        <w:sz w:val="16"/>
        <w:szCs w:val="16"/>
      </w:rPr>
      <w:fldChar w:fldCharType="end"/>
    </w:r>
  </w:p>
  <w:p w14:paraId="584569E7" w14:textId="77777777" w:rsidR="00A64B31" w:rsidRDefault="00A64B31">
    <w:pPr>
      <w:pBdr>
        <w:top w:val="nil"/>
        <w:left w:val="nil"/>
        <w:bottom w:val="nil"/>
        <w:right w:val="nil"/>
        <w:between w:val="nil"/>
      </w:pBdr>
      <w:tabs>
        <w:tab w:val="center" w:pos="4513"/>
        <w:tab w:val="right" w:pos="9026"/>
      </w:tabs>
      <w:spacing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4569EB" w14:textId="52BFCE95" w:rsidR="00A64B31" w:rsidRDefault="00CC7A64">
    <w:pPr>
      <w:pBdr>
        <w:top w:val="nil"/>
        <w:left w:val="nil"/>
        <w:bottom w:val="nil"/>
        <w:right w:val="nil"/>
        <w:between w:val="nil"/>
      </w:pBdr>
      <w:jc w:val="center"/>
      <w:rPr>
        <w:rFonts w:ascii="Gellix" w:eastAsia="Gellix" w:hAnsi="Gellix" w:cs="Gellix"/>
        <w:b/>
        <w:color w:val="000000"/>
        <w:sz w:val="16"/>
        <w:szCs w:val="16"/>
      </w:rPr>
    </w:pPr>
    <w:r>
      <w:rPr>
        <w:rFonts w:ascii="Gellix" w:eastAsia="Gellix" w:hAnsi="Gellix" w:cs="Gellix"/>
        <w:sz w:val="16"/>
        <w:szCs w:val="16"/>
      </w:rPr>
      <w:t>June</w:t>
    </w:r>
    <w:r>
      <w:rPr>
        <w:rFonts w:ascii="Gellix" w:eastAsia="Gellix" w:hAnsi="Gellix" w:cs="Gellix"/>
        <w:color w:val="000000"/>
        <w:sz w:val="16"/>
        <w:szCs w:val="16"/>
      </w:rPr>
      <w:t xml:space="preserve"> </w:t>
    </w:r>
    <w:r w:rsidR="00D96F8A">
      <w:rPr>
        <w:rFonts w:ascii="Gellix" w:eastAsia="Gellix" w:hAnsi="Gellix" w:cs="Gellix"/>
        <w:color w:val="000000"/>
        <w:sz w:val="16"/>
        <w:szCs w:val="16"/>
      </w:rPr>
      <w:t xml:space="preserve">2025 | ICC Paper on AI and standards | </w:t>
    </w:r>
    <w:r w:rsidR="00D96F8A">
      <w:rPr>
        <w:rFonts w:ascii="Gellix" w:eastAsia="Gellix" w:hAnsi="Gellix" w:cs="Gellix"/>
        <w:b/>
        <w:color w:val="000000"/>
        <w:sz w:val="16"/>
        <w:szCs w:val="16"/>
      </w:rPr>
      <w:fldChar w:fldCharType="begin"/>
    </w:r>
    <w:r w:rsidR="00D96F8A">
      <w:rPr>
        <w:rFonts w:ascii="Gellix" w:eastAsia="Gellix" w:hAnsi="Gellix" w:cs="Gellix"/>
        <w:b/>
        <w:color w:val="000000"/>
        <w:sz w:val="16"/>
        <w:szCs w:val="16"/>
      </w:rPr>
      <w:instrText>PAGE</w:instrText>
    </w:r>
    <w:r w:rsidR="00D96F8A">
      <w:rPr>
        <w:rFonts w:ascii="Gellix" w:eastAsia="Gellix" w:hAnsi="Gellix" w:cs="Gellix"/>
        <w:b/>
        <w:color w:val="000000"/>
        <w:sz w:val="16"/>
        <w:szCs w:val="16"/>
      </w:rPr>
      <w:fldChar w:fldCharType="separate"/>
    </w:r>
    <w:r w:rsidR="00766529">
      <w:rPr>
        <w:rFonts w:ascii="Gellix" w:eastAsia="Gellix" w:hAnsi="Gellix" w:cs="Gellix"/>
        <w:b/>
        <w:noProof/>
        <w:color w:val="000000"/>
        <w:sz w:val="16"/>
        <w:szCs w:val="16"/>
      </w:rPr>
      <w:t>1</w:t>
    </w:r>
    <w:r w:rsidR="00D96F8A">
      <w:rPr>
        <w:rFonts w:ascii="Gellix" w:eastAsia="Gellix" w:hAnsi="Gellix" w:cs="Gellix"/>
        <w:b/>
        <w:color w:val="000000"/>
        <w:sz w:val="16"/>
        <w:szCs w:val="16"/>
      </w:rPr>
      <w:fldChar w:fldCharType="end"/>
    </w:r>
  </w:p>
  <w:p w14:paraId="584569EC" w14:textId="77777777" w:rsidR="00A64B31" w:rsidRDefault="00A64B31">
    <w:pPr>
      <w:pBdr>
        <w:top w:val="nil"/>
        <w:left w:val="nil"/>
        <w:bottom w:val="nil"/>
        <w:right w:val="nil"/>
        <w:between w:val="nil"/>
      </w:pBdr>
      <w:jc w:val="center"/>
      <w:rPr>
        <w:rFonts w:ascii="Gellix" w:eastAsia="Gellix" w:hAnsi="Gellix" w:cs="Gellix"/>
        <w:color w:val="000000"/>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77B552" w14:textId="77777777" w:rsidR="002502B2" w:rsidRDefault="002502B2">
      <w:pPr>
        <w:spacing w:line="240" w:lineRule="auto"/>
      </w:pPr>
      <w:r>
        <w:separator/>
      </w:r>
    </w:p>
  </w:footnote>
  <w:footnote w:type="continuationSeparator" w:id="0">
    <w:p w14:paraId="60C96C2A" w14:textId="77777777" w:rsidR="002502B2" w:rsidRDefault="002502B2">
      <w:pPr>
        <w:spacing w:line="240" w:lineRule="auto"/>
      </w:pPr>
      <w:r>
        <w:continuationSeparator/>
      </w:r>
    </w:p>
  </w:footnote>
  <w:footnote w:type="continuationNotice" w:id="1">
    <w:p w14:paraId="10A0FF88" w14:textId="77777777" w:rsidR="002502B2" w:rsidRDefault="002502B2">
      <w:pPr>
        <w:spacing w:line="240" w:lineRule="auto"/>
      </w:pPr>
    </w:p>
  </w:footnote>
  <w:footnote w:id="2">
    <w:p w14:paraId="6E4165D1" w14:textId="2D57D08B" w:rsidR="005104ED" w:rsidRPr="0017070D" w:rsidRDefault="005104ED">
      <w:pPr>
        <w:pStyle w:val="FootnoteText"/>
        <w:rPr>
          <w:rFonts w:ascii="Gellix" w:hAnsi="Gellix"/>
        </w:rPr>
      </w:pPr>
      <w:r w:rsidRPr="0017070D">
        <w:rPr>
          <w:rStyle w:val="FootnoteReference"/>
          <w:rFonts w:ascii="Gellix" w:hAnsi="Gellix"/>
        </w:rPr>
        <w:footnoteRef/>
      </w:r>
      <w:r w:rsidRPr="0017070D">
        <w:rPr>
          <w:rFonts w:ascii="Gellix" w:hAnsi="Gellix"/>
        </w:rPr>
        <w:t xml:space="preserve"> </w:t>
      </w:r>
      <w:hyperlink r:id="rId1" w:history="1">
        <w:r w:rsidR="00693613" w:rsidRPr="0017070D">
          <w:rPr>
            <w:rStyle w:val="Hyperlink"/>
            <w:rFonts w:ascii="Gellix" w:hAnsi="Gellix"/>
          </w:rPr>
          <w:t>World Trade Organisation (WTO), Principles for the Development of International Standards, Guides and Recommendations</w:t>
        </w:r>
        <w:r w:rsidR="00F40E83" w:rsidRPr="0017070D">
          <w:rPr>
            <w:rStyle w:val="Hyperlink"/>
            <w:rFonts w:ascii="Gellix" w:hAnsi="Gellix"/>
          </w:rPr>
          <w:t xml:space="preserve"> (</w:t>
        </w:r>
        <w:r w:rsidR="0044294C" w:rsidRPr="0017070D">
          <w:rPr>
            <w:rStyle w:val="Hyperlink"/>
            <w:rFonts w:ascii="Gellix" w:hAnsi="Gellix"/>
          </w:rPr>
          <w:t>April 2024)</w:t>
        </w:r>
      </w:hyperlink>
      <w:r w:rsidR="0044294C" w:rsidRPr="0017070D">
        <w:rPr>
          <w:rFonts w:ascii="Gellix" w:hAnsi="Gellix"/>
        </w:rPr>
        <w:t>.</w:t>
      </w:r>
    </w:p>
  </w:footnote>
  <w:footnote w:id="3">
    <w:p w14:paraId="04ED1756" w14:textId="7C68C5D0" w:rsidR="00330754" w:rsidRPr="0017070D" w:rsidRDefault="00330754">
      <w:pPr>
        <w:pStyle w:val="FootnoteText"/>
        <w:rPr>
          <w:lang w:val="en-US"/>
        </w:rPr>
      </w:pPr>
      <w:r w:rsidRPr="0017070D">
        <w:rPr>
          <w:rStyle w:val="FootnoteReference"/>
          <w:rFonts w:ascii="Gellix" w:hAnsi="Gellix"/>
        </w:rPr>
        <w:footnoteRef/>
      </w:r>
      <w:r w:rsidRPr="0017070D">
        <w:rPr>
          <w:lang w:val="en-US"/>
        </w:rPr>
        <w:t xml:space="preserve"> </w:t>
      </w:r>
      <w:hyperlink r:id="rId2" w:history="1">
        <w:r w:rsidR="00E123A2" w:rsidRPr="0017070D">
          <w:rPr>
            <w:rStyle w:val="Hyperlink"/>
            <w:rFonts w:ascii="Gellix" w:eastAsia="Gellix" w:hAnsi="Gellix" w:cs="Gellix"/>
            <w:lang w:val="en-US"/>
          </w:rPr>
          <w:t>UN Global Digital Compact (GDC)</w:t>
        </w:r>
        <w:r w:rsidR="00E123A2" w:rsidRPr="0017070D">
          <w:rPr>
            <w:rStyle w:val="Hyperlink"/>
            <w:rFonts w:ascii="Gellix" w:eastAsia="Gellix" w:hAnsi="Gellix" w:cs="Gellix"/>
          </w:rPr>
          <w:t xml:space="preserve">, </w:t>
        </w:r>
        <w:r w:rsidR="00041930" w:rsidRPr="0017070D">
          <w:rPr>
            <w:rStyle w:val="Hyperlink"/>
            <w:rFonts w:ascii="Gellix" w:eastAsia="Gellix" w:hAnsi="Gellix" w:cs="Gellix"/>
            <w:lang w:val="en-US"/>
          </w:rPr>
          <w:t>(</w:t>
        </w:r>
        <w:r w:rsidR="00E123A2" w:rsidRPr="0017070D">
          <w:rPr>
            <w:rStyle w:val="Hyperlink"/>
            <w:rFonts w:ascii="Gellix" w:eastAsia="Gellix" w:hAnsi="Gellix" w:cs="Gellix"/>
          </w:rPr>
          <w:t>September 2024</w:t>
        </w:r>
        <w:r w:rsidR="00041930" w:rsidRPr="0017070D">
          <w:rPr>
            <w:rStyle w:val="Hyperlink"/>
            <w:rFonts w:ascii="Gellix" w:eastAsia="Gellix" w:hAnsi="Gellix" w:cs="Gellix"/>
            <w:lang w:val="en-US"/>
          </w:rPr>
          <w:t>)</w:t>
        </w:r>
      </w:hyperlink>
      <w:r w:rsidR="00E123A2" w:rsidRPr="0017070D">
        <w:rPr>
          <w:lang w:val="en-US"/>
        </w:rPr>
        <w:t xml:space="preserve"> </w:t>
      </w:r>
    </w:p>
  </w:footnote>
  <w:footnote w:id="4">
    <w:p w14:paraId="02AF46D2" w14:textId="4092ABD9" w:rsidR="00575CEA" w:rsidRPr="0017070D" w:rsidRDefault="00575CEA">
      <w:pPr>
        <w:pStyle w:val="FootnoteText"/>
        <w:rPr>
          <w:rFonts w:ascii="Gellix" w:hAnsi="Gellix"/>
        </w:rPr>
      </w:pPr>
      <w:r w:rsidRPr="0017070D">
        <w:rPr>
          <w:rStyle w:val="FootnoteReference"/>
          <w:rFonts w:ascii="Gellix" w:hAnsi="Gellix"/>
        </w:rPr>
        <w:footnoteRef/>
      </w:r>
      <w:r w:rsidRPr="0017070D">
        <w:rPr>
          <w:rFonts w:ascii="Gellix" w:hAnsi="Gellix"/>
        </w:rPr>
        <w:t xml:space="preserve"> </w:t>
      </w:r>
      <w:hyperlink r:id="rId3" w:history="1">
        <w:r w:rsidR="0084386F" w:rsidRPr="00193D69">
          <w:rPr>
            <w:rStyle w:val="Hyperlink"/>
            <w:rFonts w:ascii="Gellix" w:hAnsi="Gellix"/>
          </w:rPr>
          <w:t xml:space="preserve">UN White Paper on the Use of Artificial Intelligence </w:t>
        </w:r>
        <w:r w:rsidR="00620C7F" w:rsidRPr="00193D69">
          <w:rPr>
            <w:rStyle w:val="Hyperlink"/>
            <w:rFonts w:ascii="Gellix" w:hAnsi="Gellix"/>
          </w:rPr>
          <w:t xml:space="preserve">to Facilitate Trade Procedures </w:t>
        </w:r>
        <w:r w:rsidR="0084386F" w:rsidRPr="00193D69">
          <w:rPr>
            <w:rStyle w:val="Hyperlink"/>
            <w:rFonts w:ascii="Gellix" w:hAnsi="Gellix"/>
          </w:rPr>
          <w:t xml:space="preserve">(March 2024) </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4569E3" w14:textId="77777777" w:rsidR="00A64B31" w:rsidRDefault="00A64B31">
    <w:pPr>
      <w:pBdr>
        <w:top w:val="nil"/>
        <w:left w:val="nil"/>
        <w:bottom w:val="nil"/>
        <w:right w:val="nil"/>
        <w:between w:val="nil"/>
      </w:pBdr>
      <w:tabs>
        <w:tab w:val="center" w:pos="4513"/>
        <w:tab w:val="right" w:pos="9026"/>
      </w:tabs>
      <w:spacing w:line="240" w:lineRule="auto"/>
      <w:jc w:val="right"/>
      <w:rPr>
        <w:color w:val="000000"/>
      </w:rPr>
    </w:pPr>
  </w:p>
  <w:p w14:paraId="584569E4" w14:textId="77777777" w:rsidR="00A64B31" w:rsidRDefault="00A64B31">
    <w:pPr>
      <w:pBdr>
        <w:top w:val="nil"/>
        <w:left w:val="nil"/>
        <w:bottom w:val="nil"/>
        <w:right w:val="nil"/>
        <w:between w:val="nil"/>
      </w:pBdr>
      <w:tabs>
        <w:tab w:val="center" w:pos="4513"/>
        <w:tab w:val="right" w:pos="9026"/>
      </w:tabs>
      <w:spacing w:line="240" w:lineRule="auto"/>
      <w:jc w:val="right"/>
      <w:rPr>
        <w:color w:val="000000"/>
      </w:rPr>
    </w:pPr>
  </w:p>
  <w:p w14:paraId="584569E5" w14:textId="77777777" w:rsidR="00A64B31" w:rsidRDefault="00A64B31">
    <w:pPr>
      <w:pBdr>
        <w:top w:val="nil"/>
        <w:left w:val="nil"/>
        <w:bottom w:val="nil"/>
        <w:right w:val="nil"/>
        <w:between w:val="nil"/>
      </w:pBdr>
      <w:tabs>
        <w:tab w:val="center" w:pos="4513"/>
        <w:tab w:val="right" w:pos="9026"/>
      </w:tabs>
      <w:spacing w:line="240" w:lineRule="auto"/>
      <w:jc w:val="right"/>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4569E8" w14:textId="77777777" w:rsidR="00A64B31" w:rsidRDefault="00A64B31">
    <w:pPr>
      <w:pBdr>
        <w:top w:val="nil"/>
        <w:left w:val="nil"/>
        <w:bottom w:val="nil"/>
        <w:right w:val="nil"/>
        <w:between w:val="nil"/>
      </w:pBdr>
      <w:tabs>
        <w:tab w:val="center" w:pos="4513"/>
        <w:tab w:val="right" w:pos="9026"/>
      </w:tabs>
      <w:spacing w:line="240" w:lineRule="auto"/>
      <w:jc w:val="right"/>
      <w:rPr>
        <w:color w:val="000000"/>
      </w:rPr>
    </w:pPr>
  </w:p>
  <w:p w14:paraId="584569E9" w14:textId="77777777" w:rsidR="00A64B31" w:rsidRDefault="00A64B31">
    <w:pPr>
      <w:pBdr>
        <w:top w:val="nil"/>
        <w:left w:val="nil"/>
        <w:bottom w:val="nil"/>
        <w:right w:val="nil"/>
        <w:between w:val="nil"/>
      </w:pBdr>
      <w:tabs>
        <w:tab w:val="center" w:pos="4513"/>
        <w:tab w:val="right" w:pos="9026"/>
      </w:tabs>
      <w:spacing w:line="240" w:lineRule="auto"/>
      <w:jc w:val="right"/>
      <w:rPr>
        <w:color w:val="000000"/>
      </w:rPr>
    </w:pPr>
  </w:p>
  <w:p w14:paraId="584569EA" w14:textId="77777777" w:rsidR="00A64B31" w:rsidRDefault="00D96F8A">
    <w:pPr>
      <w:pBdr>
        <w:top w:val="nil"/>
        <w:left w:val="nil"/>
        <w:bottom w:val="nil"/>
        <w:right w:val="nil"/>
        <w:between w:val="nil"/>
      </w:pBdr>
      <w:tabs>
        <w:tab w:val="center" w:pos="4513"/>
        <w:tab w:val="right" w:pos="9026"/>
      </w:tabs>
      <w:spacing w:line="240" w:lineRule="auto"/>
      <w:jc w:val="right"/>
      <w:rPr>
        <w:color w:val="000000"/>
      </w:rPr>
    </w:pPr>
    <w:r>
      <w:rPr>
        <w:noProof/>
        <w:color w:val="000000"/>
      </w:rPr>
      <w:drawing>
        <wp:inline distT="0" distB="0" distL="0" distR="0" wp14:anchorId="584569ED" wp14:editId="584569EE">
          <wp:extent cx="1217160" cy="756000"/>
          <wp:effectExtent l="0" t="0" r="0" b="0"/>
          <wp:docPr id="10" name="image1.png" descr="A blue and black background&#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png" descr="A blue and black background&#10;&#10;AI-generated content may be incorrect."/>
                  <pic:cNvPicPr preferRelativeResize="0"/>
                </pic:nvPicPr>
                <pic:blipFill>
                  <a:blip r:embed="rId1"/>
                  <a:srcRect/>
                  <a:stretch>
                    <a:fillRect/>
                  </a:stretch>
                </pic:blipFill>
                <pic:spPr>
                  <a:xfrm>
                    <a:off x="0" y="0"/>
                    <a:ext cx="1217160" cy="756000"/>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A45F6E"/>
    <w:multiLevelType w:val="multilevel"/>
    <w:tmpl w:val="96D4A6AC"/>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 w15:restartNumberingAfterBreak="0">
    <w:nsid w:val="14721D43"/>
    <w:multiLevelType w:val="hybridMultilevel"/>
    <w:tmpl w:val="9D0AF80E"/>
    <w:lvl w:ilvl="0" w:tplc="B4D007F2">
      <w:start w:val="1"/>
      <w:numFmt w:val="bullet"/>
      <w:lvlText w:val=""/>
      <w:lvlJc w:val="left"/>
      <w:pPr>
        <w:ind w:left="720" w:hanging="360"/>
      </w:pPr>
      <w:rPr>
        <w:rFonts w:ascii="Symbol" w:hAnsi="Symbol"/>
      </w:rPr>
    </w:lvl>
    <w:lvl w:ilvl="1" w:tplc="225EE816">
      <w:start w:val="1"/>
      <w:numFmt w:val="bullet"/>
      <w:lvlText w:val=""/>
      <w:lvlJc w:val="left"/>
      <w:pPr>
        <w:ind w:left="720" w:hanging="360"/>
      </w:pPr>
      <w:rPr>
        <w:rFonts w:ascii="Symbol" w:hAnsi="Symbol"/>
      </w:rPr>
    </w:lvl>
    <w:lvl w:ilvl="2" w:tplc="38BE6034">
      <w:start w:val="1"/>
      <w:numFmt w:val="bullet"/>
      <w:lvlText w:val=""/>
      <w:lvlJc w:val="left"/>
      <w:pPr>
        <w:ind w:left="720" w:hanging="360"/>
      </w:pPr>
      <w:rPr>
        <w:rFonts w:ascii="Symbol" w:hAnsi="Symbol"/>
      </w:rPr>
    </w:lvl>
    <w:lvl w:ilvl="3" w:tplc="2ADCA214">
      <w:start w:val="1"/>
      <w:numFmt w:val="bullet"/>
      <w:lvlText w:val=""/>
      <w:lvlJc w:val="left"/>
      <w:pPr>
        <w:ind w:left="720" w:hanging="360"/>
      </w:pPr>
      <w:rPr>
        <w:rFonts w:ascii="Symbol" w:hAnsi="Symbol"/>
      </w:rPr>
    </w:lvl>
    <w:lvl w:ilvl="4" w:tplc="7518A5EC">
      <w:start w:val="1"/>
      <w:numFmt w:val="bullet"/>
      <w:lvlText w:val=""/>
      <w:lvlJc w:val="left"/>
      <w:pPr>
        <w:ind w:left="720" w:hanging="360"/>
      </w:pPr>
      <w:rPr>
        <w:rFonts w:ascii="Symbol" w:hAnsi="Symbol"/>
      </w:rPr>
    </w:lvl>
    <w:lvl w:ilvl="5" w:tplc="ED9E4DEC">
      <w:start w:val="1"/>
      <w:numFmt w:val="bullet"/>
      <w:lvlText w:val=""/>
      <w:lvlJc w:val="left"/>
      <w:pPr>
        <w:ind w:left="720" w:hanging="360"/>
      </w:pPr>
      <w:rPr>
        <w:rFonts w:ascii="Symbol" w:hAnsi="Symbol"/>
      </w:rPr>
    </w:lvl>
    <w:lvl w:ilvl="6" w:tplc="A8380FAE">
      <w:start w:val="1"/>
      <w:numFmt w:val="bullet"/>
      <w:lvlText w:val=""/>
      <w:lvlJc w:val="left"/>
      <w:pPr>
        <w:ind w:left="720" w:hanging="360"/>
      </w:pPr>
      <w:rPr>
        <w:rFonts w:ascii="Symbol" w:hAnsi="Symbol"/>
      </w:rPr>
    </w:lvl>
    <w:lvl w:ilvl="7" w:tplc="F910712A">
      <w:start w:val="1"/>
      <w:numFmt w:val="bullet"/>
      <w:lvlText w:val=""/>
      <w:lvlJc w:val="left"/>
      <w:pPr>
        <w:ind w:left="720" w:hanging="360"/>
      </w:pPr>
      <w:rPr>
        <w:rFonts w:ascii="Symbol" w:hAnsi="Symbol"/>
      </w:rPr>
    </w:lvl>
    <w:lvl w:ilvl="8" w:tplc="E35CC824">
      <w:start w:val="1"/>
      <w:numFmt w:val="bullet"/>
      <w:lvlText w:val=""/>
      <w:lvlJc w:val="left"/>
      <w:pPr>
        <w:ind w:left="720" w:hanging="360"/>
      </w:pPr>
      <w:rPr>
        <w:rFonts w:ascii="Symbol" w:hAnsi="Symbol"/>
      </w:rPr>
    </w:lvl>
  </w:abstractNum>
  <w:abstractNum w:abstractNumId="2" w15:restartNumberingAfterBreak="0">
    <w:nsid w:val="1C3601D9"/>
    <w:multiLevelType w:val="multilevel"/>
    <w:tmpl w:val="C0620D56"/>
    <w:lvl w:ilvl="0">
      <w:start w:val="1"/>
      <w:numFmt w:val="decimal"/>
      <w:lvlText w:val="%1."/>
      <w:lvlJc w:val="left"/>
      <w:pPr>
        <w:ind w:left="720" w:hanging="360"/>
      </w:pPr>
      <w:rPr>
        <w:b/>
        <w:bCs/>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 w15:restartNumberingAfterBreak="0">
    <w:nsid w:val="26C80F05"/>
    <w:multiLevelType w:val="multilevel"/>
    <w:tmpl w:val="C9764CD0"/>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4" w15:restartNumberingAfterBreak="0">
    <w:nsid w:val="4E6A7C32"/>
    <w:multiLevelType w:val="multilevel"/>
    <w:tmpl w:val="B7F84DD6"/>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EDD2EAF"/>
    <w:multiLevelType w:val="multilevel"/>
    <w:tmpl w:val="3FEC9E96"/>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50A3439F"/>
    <w:multiLevelType w:val="hybridMultilevel"/>
    <w:tmpl w:val="D08053D6"/>
    <w:lvl w:ilvl="0" w:tplc="A622FB48">
      <w:start w:val="1"/>
      <w:numFmt w:val="bullet"/>
      <w:lvlText w:val=""/>
      <w:lvlJc w:val="left"/>
      <w:pPr>
        <w:ind w:left="720" w:hanging="360"/>
      </w:pPr>
      <w:rPr>
        <w:rFonts w:ascii="Symbol" w:hAnsi="Symbol"/>
      </w:rPr>
    </w:lvl>
    <w:lvl w:ilvl="1" w:tplc="7AE07BB8">
      <w:start w:val="1"/>
      <w:numFmt w:val="bullet"/>
      <w:lvlText w:val=""/>
      <w:lvlJc w:val="left"/>
      <w:pPr>
        <w:ind w:left="720" w:hanging="360"/>
      </w:pPr>
      <w:rPr>
        <w:rFonts w:ascii="Symbol" w:hAnsi="Symbol"/>
      </w:rPr>
    </w:lvl>
    <w:lvl w:ilvl="2" w:tplc="A77CCE8A">
      <w:start w:val="1"/>
      <w:numFmt w:val="bullet"/>
      <w:lvlText w:val=""/>
      <w:lvlJc w:val="left"/>
      <w:pPr>
        <w:ind w:left="720" w:hanging="360"/>
      </w:pPr>
      <w:rPr>
        <w:rFonts w:ascii="Symbol" w:hAnsi="Symbol"/>
      </w:rPr>
    </w:lvl>
    <w:lvl w:ilvl="3" w:tplc="32846148">
      <w:start w:val="1"/>
      <w:numFmt w:val="bullet"/>
      <w:lvlText w:val=""/>
      <w:lvlJc w:val="left"/>
      <w:pPr>
        <w:ind w:left="720" w:hanging="360"/>
      </w:pPr>
      <w:rPr>
        <w:rFonts w:ascii="Symbol" w:hAnsi="Symbol"/>
      </w:rPr>
    </w:lvl>
    <w:lvl w:ilvl="4" w:tplc="9F3076CE">
      <w:start w:val="1"/>
      <w:numFmt w:val="bullet"/>
      <w:lvlText w:val=""/>
      <w:lvlJc w:val="left"/>
      <w:pPr>
        <w:ind w:left="720" w:hanging="360"/>
      </w:pPr>
      <w:rPr>
        <w:rFonts w:ascii="Symbol" w:hAnsi="Symbol"/>
      </w:rPr>
    </w:lvl>
    <w:lvl w:ilvl="5" w:tplc="2668C334">
      <w:start w:val="1"/>
      <w:numFmt w:val="bullet"/>
      <w:lvlText w:val=""/>
      <w:lvlJc w:val="left"/>
      <w:pPr>
        <w:ind w:left="720" w:hanging="360"/>
      </w:pPr>
      <w:rPr>
        <w:rFonts w:ascii="Symbol" w:hAnsi="Symbol"/>
      </w:rPr>
    </w:lvl>
    <w:lvl w:ilvl="6" w:tplc="5A7E0DFE">
      <w:start w:val="1"/>
      <w:numFmt w:val="bullet"/>
      <w:lvlText w:val=""/>
      <w:lvlJc w:val="left"/>
      <w:pPr>
        <w:ind w:left="720" w:hanging="360"/>
      </w:pPr>
      <w:rPr>
        <w:rFonts w:ascii="Symbol" w:hAnsi="Symbol"/>
      </w:rPr>
    </w:lvl>
    <w:lvl w:ilvl="7" w:tplc="3386E3EC">
      <w:start w:val="1"/>
      <w:numFmt w:val="bullet"/>
      <w:lvlText w:val=""/>
      <w:lvlJc w:val="left"/>
      <w:pPr>
        <w:ind w:left="720" w:hanging="360"/>
      </w:pPr>
      <w:rPr>
        <w:rFonts w:ascii="Symbol" w:hAnsi="Symbol"/>
      </w:rPr>
    </w:lvl>
    <w:lvl w:ilvl="8" w:tplc="82961D10">
      <w:start w:val="1"/>
      <w:numFmt w:val="bullet"/>
      <w:lvlText w:val=""/>
      <w:lvlJc w:val="left"/>
      <w:pPr>
        <w:ind w:left="720" w:hanging="360"/>
      </w:pPr>
      <w:rPr>
        <w:rFonts w:ascii="Symbol" w:hAnsi="Symbol"/>
      </w:rPr>
    </w:lvl>
  </w:abstractNum>
  <w:abstractNum w:abstractNumId="7" w15:restartNumberingAfterBreak="0">
    <w:nsid w:val="6EAB6A2B"/>
    <w:multiLevelType w:val="multilevel"/>
    <w:tmpl w:val="959E40B0"/>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8" w15:restartNumberingAfterBreak="0">
    <w:nsid w:val="79ED5ED0"/>
    <w:multiLevelType w:val="multilevel"/>
    <w:tmpl w:val="4E42ADE8"/>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9" w15:restartNumberingAfterBreak="0">
    <w:nsid w:val="7AF60B0C"/>
    <w:multiLevelType w:val="multilevel"/>
    <w:tmpl w:val="E09E95F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7DBD1BD3"/>
    <w:multiLevelType w:val="hybridMultilevel"/>
    <w:tmpl w:val="3274E58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498888373">
    <w:abstractNumId w:val="8"/>
  </w:num>
  <w:num w:numId="2" w16cid:durableId="1098602745">
    <w:abstractNumId w:val="0"/>
  </w:num>
  <w:num w:numId="3" w16cid:durableId="1443960921">
    <w:abstractNumId w:val="3"/>
  </w:num>
  <w:num w:numId="4" w16cid:durableId="2026129983">
    <w:abstractNumId w:val="9"/>
  </w:num>
  <w:num w:numId="5" w16cid:durableId="1960259860">
    <w:abstractNumId w:val="7"/>
  </w:num>
  <w:num w:numId="6" w16cid:durableId="916742457">
    <w:abstractNumId w:val="2"/>
  </w:num>
  <w:num w:numId="7" w16cid:durableId="81295494">
    <w:abstractNumId w:val="4"/>
  </w:num>
  <w:num w:numId="8" w16cid:durableId="275797330">
    <w:abstractNumId w:val="5"/>
  </w:num>
  <w:num w:numId="9" w16cid:durableId="1910537388">
    <w:abstractNumId w:val="6"/>
  </w:num>
  <w:num w:numId="10" w16cid:durableId="188640648">
    <w:abstractNumId w:val="1"/>
  </w:num>
  <w:num w:numId="11" w16cid:durableId="140707458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4B31"/>
    <w:rsid w:val="00002BEE"/>
    <w:rsid w:val="00002F09"/>
    <w:rsid w:val="00003A1F"/>
    <w:rsid w:val="00011AF0"/>
    <w:rsid w:val="00012CEE"/>
    <w:rsid w:val="0001410F"/>
    <w:rsid w:val="00016732"/>
    <w:rsid w:val="00024D35"/>
    <w:rsid w:val="0004111D"/>
    <w:rsid w:val="00041930"/>
    <w:rsid w:val="00043ADA"/>
    <w:rsid w:val="00044335"/>
    <w:rsid w:val="00046264"/>
    <w:rsid w:val="00050906"/>
    <w:rsid w:val="00055AE6"/>
    <w:rsid w:val="00060066"/>
    <w:rsid w:val="0006006A"/>
    <w:rsid w:val="00060CC9"/>
    <w:rsid w:val="000617A7"/>
    <w:rsid w:val="00074B4C"/>
    <w:rsid w:val="0007581B"/>
    <w:rsid w:val="000923F6"/>
    <w:rsid w:val="000A23FF"/>
    <w:rsid w:val="000A418D"/>
    <w:rsid w:val="000A6364"/>
    <w:rsid w:val="000A68F3"/>
    <w:rsid w:val="000B023C"/>
    <w:rsid w:val="000B5402"/>
    <w:rsid w:val="000C4886"/>
    <w:rsid w:val="000C55E8"/>
    <w:rsid w:val="000C5FB0"/>
    <w:rsid w:val="000D0206"/>
    <w:rsid w:val="000D32B7"/>
    <w:rsid w:val="000E1288"/>
    <w:rsid w:val="000F0AA0"/>
    <w:rsid w:val="000F23F3"/>
    <w:rsid w:val="000F3012"/>
    <w:rsid w:val="000F5469"/>
    <w:rsid w:val="001002BA"/>
    <w:rsid w:val="00100BC6"/>
    <w:rsid w:val="00103791"/>
    <w:rsid w:val="00106A76"/>
    <w:rsid w:val="0011187D"/>
    <w:rsid w:val="00115224"/>
    <w:rsid w:val="00116522"/>
    <w:rsid w:val="0012028B"/>
    <w:rsid w:val="00133F6B"/>
    <w:rsid w:val="00137EE6"/>
    <w:rsid w:val="00140DAE"/>
    <w:rsid w:val="00141990"/>
    <w:rsid w:val="00143ACD"/>
    <w:rsid w:val="001456A8"/>
    <w:rsid w:val="00145FE7"/>
    <w:rsid w:val="001465A2"/>
    <w:rsid w:val="00162583"/>
    <w:rsid w:val="001638B8"/>
    <w:rsid w:val="00167458"/>
    <w:rsid w:val="0017070D"/>
    <w:rsid w:val="0017289E"/>
    <w:rsid w:val="00174307"/>
    <w:rsid w:val="00175C1D"/>
    <w:rsid w:val="00176078"/>
    <w:rsid w:val="00184664"/>
    <w:rsid w:val="001862AF"/>
    <w:rsid w:val="0019012E"/>
    <w:rsid w:val="00191968"/>
    <w:rsid w:val="00193D69"/>
    <w:rsid w:val="001953BF"/>
    <w:rsid w:val="001A0537"/>
    <w:rsid w:val="001A6EE7"/>
    <w:rsid w:val="001B0BE5"/>
    <w:rsid w:val="001B7CF5"/>
    <w:rsid w:val="001C771D"/>
    <w:rsid w:val="001D50E6"/>
    <w:rsid w:val="001D53A1"/>
    <w:rsid w:val="001E2B98"/>
    <w:rsid w:val="001E3CC4"/>
    <w:rsid w:val="001E5657"/>
    <w:rsid w:val="001E6E69"/>
    <w:rsid w:val="001F2C66"/>
    <w:rsid w:val="001F662B"/>
    <w:rsid w:val="0020177E"/>
    <w:rsid w:val="00207597"/>
    <w:rsid w:val="00210211"/>
    <w:rsid w:val="00215791"/>
    <w:rsid w:val="00216F26"/>
    <w:rsid w:val="00217226"/>
    <w:rsid w:val="0022448E"/>
    <w:rsid w:val="002339DC"/>
    <w:rsid w:val="0024018F"/>
    <w:rsid w:val="002502B2"/>
    <w:rsid w:val="00250CD4"/>
    <w:rsid w:val="00252ED5"/>
    <w:rsid w:val="00263272"/>
    <w:rsid w:val="0026761C"/>
    <w:rsid w:val="00270BD1"/>
    <w:rsid w:val="00272768"/>
    <w:rsid w:val="00272C04"/>
    <w:rsid w:val="0027376E"/>
    <w:rsid w:val="00274777"/>
    <w:rsid w:val="00275903"/>
    <w:rsid w:val="00276833"/>
    <w:rsid w:val="00276C97"/>
    <w:rsid w:val="00277B49"/>
    <w:rsid w:val="00280659"/>
    <w:rsid w:val="00281465"/>
    <w:rsid w:val="00281D39"/>
    <w:rsid w:val="0028416C"/>
    <w:rsid w:val="00285F57"/>
    <w:rsid w:val="00292817"/>
    <w:rsid w:val="002934A5"/>
    <w:rsid w:val="00294CD3"/>
    <w:rsid w:val="002A5497"/>
    <w:rsid w:val="002A59C7"/>
    <w:rsid w:val="002A7005"/>
    <w:rsid w:val="002A7398"/>
    <w:rsid w:val="002B5159"/>
    <w:rsid w:val="002B5807"/>
    <w:rsid w:val="002B61E8"/>
    <w:rsid w:val="002C1481"/>
    <w:rsid w:val="002C416F"/>
    <w:rsid w:val="002C72EC"/>
    <w:rsid w:val="002D14AC"/>
    <w:rsid w:val="002D5D64"/>
    <w:rsid w:val="002D7FD4"/>
    <w:rsid w:val="002E0782"/>
    <w:rsid w:val="002E1C1A"/>
    <w:rsid w:val="002E1C8F"/>
    <w:rsid w:val="002E792C"/>
    <w:rsid w:val="002F17E0"/>
    <w:rsid w:val="002F3A78"/>
    <w:rsid w:val="00301612"/>
    <w:rsid w:val="003111D7"/>
    <w:rsid w:val="00316409"/>
    <w:rsid w:val="00322A51"/>
    <w:rsid w:val="00323DC2"/>
    <w:rsid w:val="0032696D"/>
    <w:rsid w:val="00326FD1"/>
    <w:rsid w:val="00330754"/>
    <w:rsid w:val="003310DF"/>
    <w:rsid w:val="003370C6"/>
    <w:rsid w:val="00340F93"/>
    <w:rsid w:val="00351474"/>
    <w:rsid w:val="0035423F"/>
    <w:rsid w:val="00356342"/>
    <w:rsid w:val="003576AC"/>
    <w:rsid w:val="003730D8"/>
    <w:rsid w:val="00374434"/>
    <w:rsid w:val="00375E50"/>
    <w:rsid w:val="003773E6"/>
    <w:rsid w:val="00377E9C"/>
    <w:rsid w:val="003816B1"/>
    <w:rsid w:val="00383DF7"/>
    <w:rsid w:val="00391DB1"/>
    <w:rsid w:val="00392353"/>
    <w:rsid w:val="00393B36"/>
    <w:rsid w:val="003A1628"/>
    <w:rsid w:val="003B59D3"/>
    <w:rsid w:val="003B62A6"/>
    <w:rsid w:val="003C0C8C"/>
    <w:rsid w:val="003C19FE"/>
    <w:rsid w:val="003D0945"/>
    <w:rsid w:val="003D4AD7"/>
    <w:rsid w:val="003D7CA8"/>
    <w:rsid w:val="003E00E3"/>
    <w:rsid w:val="003E1502"/>
    <w:rsid w:val="003F4437"/>
    <w:rsid w:val="003F5874"/>
    <w:rsid w:val="003F63EB"/>
    <w:rsid w:val="003F6485"/>
    <w:rsid w:val="003F6488"/>
    <w:rsid w:val="00400CE7"/>
    <w:rsid w:val="00401B1C"/>
    <w:rsid w:val="00403D73"/>
    <w:rsid w:val="004075CE"/>
    <w:rsid w:val="00407748"/>
    <w:rsid w:val="00416609"/>
    <w:rsid w:val="0041674F"/>
    <w:rsid w:val="0041682F"/>
    <w:rsid w:val="0042057E"/>
    <w:rsid w:val="0042066F"/>
    <w:rsid w:val="0042229A"/>
    <w:rsid w:val="00434736"/>
    <w:rsid w:val="00440DB2"/>
    <w:rsid w:val="00441E4F"/>
    <w:rsid w:val="0044294C"/>
    <w:rsid w:val="00443840"/>
    <w:rsid w:val="004470CA"/>
    <w:rsid w:val="00447891"/>
    <w:rsid w:val="00447A67"/>
    <w:rsid w:val="00453B1A"/>
    <w:rsid w:val="00453B71"/>
    <w:rsid w:val="0045618B"/>
    <w:rsid w:val="004603FE"/>
    <w:rsid w:val="00463135"/>
    <w:rsid w:val="004635F6"/>
    <w:rsid w:val="00466F53"/>
    <w:rsid w:val="004733CC"/>
    <w:rsid w:val="00474221"/>
    <w:rsid w:val="0047656C"/>
    <w:rsid w:val="00476B6A"/>
    <w:rsid w:val="004810E0"/>
    <w:rsid w:val="00484593"/>
    <w:rsid w:val="00485A46"/>
    <w:rsid w:val="00490B79"/>
    <w:rsid w:val="00492326"/>
    <w:rsid w:val="00495B36"/>
    <w:rsid w:val="004971DE"/>
    <w:rsid w:val="004A586F"/>
    <w:rsid w:val="004B0064"/>
    <w:rsid w:val="004B048F"/>
    <w:rsid w:val="004B0900"/>
    <w:rsid w:val="004B09BC"/>
    <w:rsid w:val="004B2D8E"/>
    <w:rsid w:val="004B4D8E"/>
    <w:rsid w:val="004B5E0D"/>
    <w:rsid w:val="004D11F4"/>
    <w:rsid w:val="004D2F82"/>
    <w:rsid w:val="004D6119"/>
    <w:rsid w:val="004E1CEA"/>
    <w:rsid w:val="004E22C5"/>
    <w:rsid w:val="004E7894"/>
    <w:rsid w:val="004F0F65"/>
    <w:rsid w:val="004F27F8"/>
    <w:rsid w:val="004F7324"/>
    <w:rsid w:val="00501B40"/>
    <w:rsid w:val="0050798E"/>
    <w:rsid w:val="005104ED"/>
    <w:rsid w:val="00511EED"/>
    <w:rsid w:val="00515DBC"/>
    <w:rsid w:val="0051780C"/>
    <w:rsid w:val="00522E0C"/>
    <w:rsid w:val="00533350"/>
    <w:rsid w:val="00534D15"/>
    <w:rsid w:val="00534E46"/>
    <w:rsid w:val="005415D3"/>
    <w:rsid w:val="00546FA9"/>
    <w:rsid w:val="00551B9E"/>
    <w:rsid w:val="0055634A"/>
    <w:rsid w:val="00575CEA"/>
    <w:rsid w:val="00575F13"/>
    <w:rsid w:val="00582620"/>
    <w:rsid w:val="00583B7D"/>
    <w:rsid w:val="00586355"/>
    <w:rsid w:val="005973D9"/>
    <w:rsid w:val="005A2D2A"/>
    <w:rsid w:val="005A38E5"/>
    <w:rsid w:val="005A6252"/>
    <w:rsid w:val="005A6C53"/>
    <w:rsid w:val="005B0DED"/>
    <w:rsid w:val="005B13D0"/>
    <w:rsid w:val="005B4A84"/>
    <w:rsid w:val="005C23C6"/>
    <w:rsid w:val="005C25DF"/>
    <w:rsid w:val="005C5150"/>
    <w:rsid w:val="005C6479"/>
    <w:rsid w:val="005C7E92"/>
    <w:rsid w:val="005D0DEB"/>
    <w:rsid w:val="005D1F2B"/>
    <w:rsid w:val="005D284C"/>
    <w:rsid w:val="005E4F03"/>
    <w:rsid w:val="005E7D38"/>
    <w:rsid w:val="005F0687"/>
    <w:rsid w:val="00601AC0"/>
    <w:rsid w:val="00601E5E"/>
    <w:rsid w:val="00605F28"/>
    <w:rsid w:val="00606499"/>
    <w:rsid w:val="00610E89"/>
    <w:rsid w:val="00612C7B"/>
    <w:rsid w:val="00615465"/>
    <w:rsid w:val="00620C7F"/>
    <w:rsid w:val="00621F96"/>
    <w:rsid w:val="0063348D"/>
    <w:rsid w:val="00637795"/>
    <w:rsid w:val="0063799B"/>
    <w:rsid w:val="00645061"/>
    <w:rsid w:val="006452D8"/>
    <w:rsid w:val="006522AB"/>
    <w:rsid w:val="0066031E"/>
    <w:rsid w:val="006607B5"/>
    <w:rsid w:val="00662930"/>
    <w:rsid w:val="00664470"/>
    <w:rsid w:val="00664A88"/>
    <w:rsid w:val="00670207"/>
    <w:rsid w:val="006716EE"/>
    <w:rsid w:val="00672938"/>
    <w:rsid w:val="00675D7E"/>
    <w:rsid w:val="006825FA"/>
    <w:rsid w:val="00686CDB"/>
    <w:rsid w:val="00690549"/>
    <w:rsid w:val="006934BE"/>
    <w:rsid w:val="00693613"/>
    <w:rsid w:val="00695D62"/>
    <w:rsid w:val="00696D60"/>
    <w:rsid w:val="006A0730"/>
    <w:rsid w:val="006A7EF2"/>
    <w:rsid w:val="006B06E7"/>
    <w:rsid w:val="006D231A"/>
    <w:rsid w:val="006E15B1"/>
    <w:rsid w:val="006E63DD"/>
    <w:rsid w:val="006F150A"/>
    <w:rsid w:val="006F2120"/>
    <w:rsid w:val="006F2140"/>
    <w:rsid w:val="006F5814"/>
    <w:rsid w:val="00701918"/>
    <w:rsid w:val="00705CA4"/>
    <w:rsid w:val="007153D8"/>
    <w:rsid w:val="00720188"/>
    <w:rsid w:val="00722A8F"/>
    <w:rsid w:val="00722C3D"/>
    <w:rsid w:val="0072775E"/>
    <w:rsid w:val="007376C0"/>
    <w:rsid w:val="00744F08"/>
    <w:rsid w:val="007462C0"/>
    <w:rsid w:val="00746AC0"/>
    <w:rsid w:val="00746FBF"/>
    <w:rsid w:val="0074726A"/>
    <w:rsid w:val="007474B8"/>
    <w:rsid w:val="00751BDF"/>
    <w:rsid w:val="00755329"/>
    <w:rsid w:val="00756F48"/>
    <w:rsid w:val="0076047D"/>
    <w:rsid w:val="00761654"/>
    <w:rsid w:val="00762C5C"/>
    <w:rsid w:val="0076502B"/>
    <w:rsid w:val="00766529"/>
    <w:rsid w:val="00773168"/>
    <w:rsid w:val="00775316"/>
    <w:rsid w:val="007754CB"/>
    <w:rsid w:val="007802E8"/>
    <w:rsid w:val="00783141"/>
    <w:rsid w:val="00784B62"/>
    <w:rsid w:val="00785093"/>
    <w:rsid w:val="007862B4"/>
    <w:rsid w:val="0079164B"/>
    <w:rsid w:val="007932F7"/>
    <w:rsid w:val="007962C5"/>
    <w:rsid w:val="007978F8"/>
    <w:rsid w:val="00797C6E"/>
    <w:rsid w:val="007A66B3"/>
    <w:rsid w:val="007B2BB8"/>
    <w:rsid w:val="007C062C"/>
    <w:rsid w:val="007C1093"/>
    <w:rsid w:val="007C1D0D"/>
    <w:rsid w:val="007D2C64"/>
    <w:rsid w:val="007D7425"/>
    <w:rsid w:val="007E1DFE"/>
    <w:rsid w:val="007E29D8"/>
    <w:rsid w:val="007E3B78"/>
    <w:rsid w:val="007E6406"/>
    <w:rsid w:val="007E6BBB"/>
    <w:rsid w:val="007F0C20"/>
    <w:rsid w:val="007F1308"/>
    <w:rsid w:val="007F2F58"/>
    <w:rsid w:val="007F5EEC"/>
    <w:rsid w:val="007F6F93"/>
    <w:rsid w:val="008071B5"/>
    <w:rsid w:val="0080720A"/>
    <w:rsid w:val="00807524"/>
    <w:rsid w:val="00807AC7"/>
    <w:rsid w:val="00807BA8"/>
    <w:rsid w:val="00811185"/>
    <w:rsid w:val="008113BE"/>
    <w:rsid w:val="00812CC5"/>
    <w:rsid w:val="0081357E"/>
    <w:rsid w:val="00815E66"/>
    <w:rsid w:val="00817387"/>
    <w:rsid w:val="00817E38"/>
    <w:rsid w:val="00821CA1"/>
    <w:rsid w:val="008222E4"/>
    <w:rsid w:val="00823F0A"/>
    <w:rsid w:val="00826060"/>
    <w:rsid w:val="008264B2"/>
    <w:rsid w:val="008313D4"/>
    <w:rsid w:val="00833CD9"/>
    <w:rsid w:val="0084386F"/>
    <w:rsid w:val="00847A4B"/>
    <w:rsid w:val="008500F0"/>
    <w:rsid w:val="00853733"/>
    <w:rsid w:val="00860B0A"/>
    <w:rsid w:val="0086278D"/>
    <w:rsid w:val="00865ACA"/>
    <w:rsid w:val="00866EF4"/>
    <w:rsid w:val="008778D4"/>
    <w:rsid w:val="008902DC"/>
    <w:rsid w:val="0089040D"/>
    <w:rsid w:val="00891712"/>
    <w:rsid w:val="00892BC9"/>
    <w:rsid w:val="00893FC9"/>
    <w:rsid w:val="008A0C30"/>
    <w:rsid w:val="008A16D7"/>
    <w:rsid w:val="008A4DCA"/>
    <w:rsid w:val="008A53BB"/>
    <w:rsid w:val="008A6EB9"/>
    <w:rsid w:val="008A7F97"/>
    <w:rsid w:val="008B0623"/>
    <w:rsid w:val="008B3A13"/>
    <w:rsid w:val="008B775A"/>
    <w:rsid w:val="008C3679"/>
    <w:rsid w:val="008E04CA"/>
    <w:rsid w:val="008E5027"/>
    <w:rsid w:val="008E5F8B"/>
    <w:rsid w:val="008E739F"/>
    <w:rsid w:val="008F5849"/>
    <w:rsid w:val="008F5B16"/>
    <w:rsid w:val="008F7449"/>
    <w:rsid w:val="0090296E"/>
    <w:rsid w:val="00905F08"/>
    <w:rsid w:val="00906515"/>
    <w:rsid w:val="009259EF"/>
    <w:rsid w:val="00925A72"/>
    <w:rsid w:val="009261A8"/>
    <w:rsid w:val="00927ACA"/>
    <w:rsid w:val="0093155F"/>
    <w:rsid w:val="009315A4"/>
    <w:rsid w:val="009332E8"/>
    <w:rsid w:val="00940E03"/>
    <w:rsid w:val="009419E4"/>
    <w:rsid w:val="00942579"/>
    <w:rsid w:val="009432DA"/>
    <w:rsid w:val="00944047"/>
    <w:rsid w:val="009478FD"/>
    <w:rsid w:val="0095306A"/>
    <w:rsid w:val="00953650"/>
    <w:rsid w:val="0095735F"/>
    <w:rsid w:val="0096434E"/>
    <w:rsid w:val="009700B6"/>
    <w:rsid w:val="00973629"/>
    <w:rsid w:val="00973FD9"/>
    <w:rsid w:val="009819E6"/>
    <w:rsid w:val="00981FCB"/>
    <w:rsid w:val="0098342B"/>
    <w:rsid w:val="00985378"/>
    <w:rsid w:val="00987C85"/>
    <w:rsid w:val="00993303"/>
    <w:rsid w:val="00994E3A"/>
    <w:rsid w:val="009A486F"/>
    <w:rsid w:val="009A5F32"/>
    <w:rsid w:val="009A6D01"/>
    <w:rsid w:val="009B2165"/>
    <w:rsid w:val="009B28DE"/>
    <w:rsid w:val="009B3245"/>
    <w:rsid w:val="009B41E2"/>
    <w:rsid w:val="009B6760"/>
    <w:rsid w:val="009B733D"/>
    <w:rsid w:val="009C1319"/>
    <w:rsid w:val="009C2346"/>
    <w:rsid w:val="009D5BEE"/>
    <w:rsid w:val="009D69A9"/>
    <w:rsid w:val="009D6BDD"/>
    <w:rsid w:val="009D7944"/>
    <w:rsid w:val="009F077F"/>
    <w:rsid w:val="009F158C"/>
    <w:rsid w:val="009F1F10"/>
    <w:rsid w:val="00A010E6"/>
    <w:rsid w:val="00A011E8"/>
    <w:rsid w:val="00A015DD"/>
    <w:rsid w:val="00A01F52"/>
    <w:rsid w:val="00A0250F"/>
    <w:rsid w:val="00A0265A"/>
    <w:rsid w:val="00A027AD"/>
    <w:rsid w:val="00A12703"/>
    <w:rsid w:val="00A15CB1"/>
    <w:rsid w:val="00A16D65"/>
    <w:rsid w:val="00A23EC5"/>
    <w:rsid w:val="00A26131"/>
    <w:rsid w:val="00A318F8"/>
    <w:rsid w:val="00A33597"/>
    <w:rsid w:val="00A33FD4"/>
    <w:rsid w:val="00A36A8B"/>
    <w:rsid w:val="00A41A4F"/>
    <w:rsid w:val="00A43662"/>
    <w:rsid w:val="00A43755"/>
    <w:rsid w:val="00A47F8B"/>
    <w:rsid w:val="00A56956"/>
    <w:rsid w:val="00A63FF5"/>
    <w:rsid w:val="00A640E6"/>
    <w:rsid w:val="00A64B31"/>
    <w:rsid w:val="00A6634C"/>
    <w:rsid w:val="00A663A3"/>
    <w:rsid w:val="00A66D1E"/>
    <w:rsid w:val="00A66E00"/>
    <w:rsid w:val="00A67B8C"/>
    <w:rsid w:val="00A714C4"/>
    <w:rsid w:val="00A71B0D"/>
    <w:rsid w:val="00A7545D"/>
    <w:rsid w:val="00A81D6B"/>
    <w:rsid w:val="00A82F71"/>
    <w:rsid w:val="00A83B0D"/>
    <w:rsid w:val="00A84D87"/>
    <w:rsid w:val="00A95139"/>
    <w:rsid w:val="00A95283"/>
    <w:rsid w:val="00AA06FF"/>
    <w:rsid w:val="00AA3264"/>
    <w:rsid w:val="00AA37B1"/>
    <w:rsid w:val="00AA6ABC"/>
    <w:rsid w:val="00AB621D"/>
    <w:rsid w:val="00AB76C7"/>
    <w:rsid w:val="00AC18B6"/>
    <w:rsid w:val="00AD070B"/>
    <w:rsid w:val="00AE4BA1"/>
    <w:rsid w:val="00AE53D4"/>
    <w:rsid w:val="00AE5918"/>
    <w:rsid w:val="00B0401A"/>
    <w:rsid w:val="00B0690F"/>
    <w:rsid w:val="00B10D12"/>
    <w:rsid w:val="00B12F25"/>
    <w:rsid w:val="00B20B85"/>
    <w:rsid w:val="00B24DB6"/>
    <w:rsid w:val="00B25BE6"/>
    <w:rsid w:val="00B26630"/>
    <w:rsid w:val="00B33DBD"/>
    <w:rsid w:val="00B35DC7"/>
    <w:rsid w:val="00B37BEE"/>
    <w:rsid w:val="00B40876"/>
    <w:rsid w:val="00B41451"/>
    <w:rsid w:val="00B43869"/>
    <w:rsid w:val="00B462F9"/>
    <w:rsid w:val="00B469C0"/>
    <w:rsid w:val="00B47264"/>
    <w:rsid w:val="00B47F05"/>
    <w:rsid w:val="00B502C7"/>
    <w:rsid w:val="00B51F14"/>
    <w:rsid w:val="00B52635"/>
    <w:rsid w:val="00B54536"/>
    <w:rsid w:val="00B5493B"/>
    <w:rsid w:val="00B56766"/>
    <w:rsid w:val="00B66D2D"/>
    <w:rsid w:val="00B70555"/>
    <w:rsid w:val="00B76CE7"/>
    <w:rsid w:val="00B96E43"/>
    <w:rsid w:val="00BA3B05"/>
    <w:rsid w:val="00BB353B"/>
    <w:rsid w:val="00BB3CDC"/>
    <w:rsid w:val="00BC34DE"/>
    <w:rsid w:val="00BD1443"/>
    <w:rsid w:val="00BD20A1"/>
    <w:rsid w:val="00BD590C"/>
    <w:rsid w:val="00BD6184"/>
    <w:rsid w:val="00BD6BE7"/>
    <w:rsid w:val="00BE0787"/>
    <w:rsid w:val="00BE158F"/>
    <w:rsid w:val="00BE1B18"/>
    <w:rsid w:val="00BE400A"/>
    <w:rsid w:val="00BE4E67"/>
    <w:rsid w:val="00BF0F01"/>
    <w:rsid w:val="00BF7A62"/>
    <w:rsid w:val="00BF7F18"/>
    <w:rsid w:val="00C00D8B"/>
    <w:rsid w:val="00C0137B"/>
    <w:rsid w:val="00C01689"/>
    <w:rsid w:val="00C024E2"/>
    <w:rsid w:val="00C105BB"/>
    <w:rsid w:val="00C1143D"/>
    <w:rsid w:val="00C12C0B"/>
    <w:rsid w:val="00C17645"/>
    <w:rsid w:val="00C22D09"/>
    <w:rsid w:val="00C24881"/>
    <w:rsid w:val="00C301AE"/>
    <w:rsid w:val="00C32DFB"/>
    <w:rsid w:val="00C33271"/>
    <w:rsid w:val="00C4302B"/>
    <w:rsid w:val="00C43738"/>
    <w:rsid w:val="00C44E5A"/>
    <w:rsid w:val="00C452B2"/>
    <w:rsid w:val="00C4695E"/>
    <w:rsid w:val="00C50D2B"/>
    <w:rsid w:val="00C529F6"/>
    <w:rsid w:val="00C54D95"/>
    <w:rsid w:val="00C65C3D"/>
    <w:rsid w:val="00C7384F"/>
    <w:rsid w:val="00C771CF"/>
    <w:rsid w:val="00C77610"/>
    <w:rsid w:val="00C8690C"/>
    <w:rsid w:val="00C86EC3"/>
    <w:rsid w:val="00C873C2"/>
    <w:rsid w:val="00C952BF"/>
    <w:rsid w:val="00CA09B1"/>
    <w:rsid w:val="00CA2187"/>
    <w:rsid w:val="00CA3994"/>
    <w:rsid w:val="00CB0074"/>
    <w:rsid w:val="00CB08C7"/>
    <w:rsid w:val="00CB37DD"/>
    <w:rsid w:val="00CB5AE3"/>
    <w:rsid w:val="00CC79EE"/>
    <w:rsid w:val="00CC7A64"/>
    <w:rsid w:val="00CE1582"/>
    <w:rsid w:val="00CE1DDF"/>
    <w:rsid w:val="00CF3D8A"/>
    <w:rsid w:val="00CF5FCA"/>
    <w:rsid w:val="00CF6819"/>
    <w:rsid w:val="00CF7C79"/>
    <w:rsid w:val="00D03CF0"/>
    <w:rsid w:val="00D03DDF"/>
    <w:rsid w:val="00D04240"/>
    <w:rsid w:val="00D05279"/>
    <w:rsid w:val="00D06438"/>
    <w:rsid w:val="00D071C6"/>
    <w:rsid w:val="00D10099"/>
    <w:rsid w:val="00D10920"/>
    <w:rsid w:val="00D1154B"/>
    <w:rsid w:val="00D27111"/>
    <w:rsid w:val="00D27655"/>
    <w:rsid w:val="00D32DF9"/>
    <w:rsid w:val="00D33906"/>
    <w:rsid w:val="00D36861"/>
    <w:rsid w:val="00D51F5C"/>
    <w:rsid w:val="00D52005"/>
    <w:rsid w:val="00D557FE"/>
    <w:rsid w:val="00D55892"/>
    <w:rsid w:val="00D616DA"/>
    <w:rsid w:val="00D66773"/>
    <w:rsid w:val="00D70AFA"/>
    <w:rsid w:val="00D70DED"/>
    <w:rsid w:val="00D71FE3"/>
    <w:rsid w:val="00D8315F"/>
    <w:rsid w:val="00D851C0"/>
    <w:rsid w:val="00D90B52"/>
    <w:rsid w:val="00D934BB"/>
    <w:rsid w:val="00D96F8A"/>
    <w:rsid w:val="00DA07E7"/>
    <w:rsid w:val="00DA17B6"/>
    <w:rsid w:val="00DA746C"/>
    <w:rsid w:val="00DB0853"/>
    <w:rsid w:val="00DB0F2F"/>
    <w:rsid w:val="00DB5955"/>
    <w:rsid w:val="00DB750F"/>
    <w:rsid w:val="00DB7D2C"/>
    <w:rsid w:val="00DC1CC0"/>
    <w:rsid w:val="00DC32C2"/>
    <w:rsid w:val="00DC5CAD"/>
    <w:rsid w:val="00DD00BA"/>
    <w:rsid w:val="00DD2151"/>
    <w:rsid w:val="00DE1F4F"/>
    <w:rsid w:val="00DE4FBD"/>
    <w:rsid w:val="00DE58DC"/>
    <w:rsid w:val="00DE743A"/>
    <w:rsid w:val="00DE7DB0"/>
    <w:rsid w:val="00DF0D4D"/>
    <w:rsid w:val="00DF1669"/>
    <w:rsid w:val="00E00657"/>
    <w:rsid w:val="00E00E35"/>
    <w:rsid w:val="00E00F60"/>
    <w:rsid w:val="00E03773"/>
    <w:rsid w:val="00E038FE"/>
    <w:rsid w:val="00E042DE"/>
    <w:rsid w:val="00E0482D"/>
    <w:rsid w:val="00E123A2"/>
    <w:rsid w:val="00E14595"/>
    <w:rsid w:val="00E153EF"/>
    <w:rsid w:val="00E1666C"/>
    <w:rsid w:val="00E239FC"/>
    <w:rsid w:val="00E248D9"/>
    <w:rsid w:val="00E307FE"/>
    <w:rsid w:val="00E3274F"/>
    <w:rsid w:val="00E34695"/>
    <w:rsid w:val="00E35D27"/>
    <w:rsid w:val="00E40B63"/>
    <w:rsid w:val="00E52BC9"/>
    <w:rsid w:val="00E53794"/>
    <w:rsid w:val="00E537F3"/>
    <w:rsid w:val="00E55E6E"/>
    <w:rsid w:val="00E60212"/>
    <w:rsid w:val="00E6554E"/>
    <w:rsid w:val="00E66C28"/>
    <w:rsid w:val="00E67925"/>
    <w:rsid w:val="00E71FF9"/>
    <w:rsid w:val="00E74B37"/>
    <w:rsid w:val="00E757EF"/>
    <w:rsid w:val="00E76058"/>
    <w:rsid w:val="00E76475"/>
    <w:rsid w:val="00E775A4"/>
    <w:rsid w:val="00E77896"/>
    <w:rsid w:val="00E82AEF"/>
    <w:rsid w:val="00E9623C"/>
    <w:rsid w:val="00E965D6"/>
    <w:rsid w:val="00EB2BB5"/>
    <w:rsid w:val="00EC09D5"/>
    <w:rsid w:val="00EC6FB8"/>
    <w:rsid w:val="00ED1B5F"/>
    <w:rsid w:val="00ED2157"/>
    <w:rsid w:val="00EE19A2"/>
    <w:rsid w:val="00EF1FA3"/>
    <w:rsid w:val="00F07095"/>
    <w:rsid w:val="00F076C0"/>
    <w:rsid w:val="00F07F40"/>
    <w:rsid w:val="00F10222"/>
    <w:rsid w:val="00F12A8F"/>
    <w:rsid w:val="00F16788"/>
    <w:rsid w:val="00F2789C"/>
    <w:rsid w:val="00F34989"/>
    <w:rsid w:val="00F36BE6"/>
    <w:rsid w:val="00F377EC"/>
    <w:rsid w:val="00F40E83"/>
    <w:rsid w:val="00F425EF"/>
    <w:rsid w:val="00F45D49"/>
    <w:rsid w:val="00F45F08"/>
    <w:rsid w:val="00F4665E"/>
    <w:rsid w:val="00F50710"/>
    <w:rsid w:val="00F51D7B"/>
    <w:rsid w:val="00F538C5"/>
    <w:rsid w:val="00F53D1A"/>
    <w:rsid w:val="00F541E6"/>
    <w:rsid w:val="00F55520"/>
    <w:rsid w:val="00F63273"/>
    <w:rsid w:val="00F678BE"/>
    <w:rsid w:val="00F706C9"/>
    <w:rsid w:val="00F714D7"/>
    <w:rsid w:val="00F75A8B"/>
    <w:rsid w:val="00F777DA"/>
    <w:rsid w:val="00F77829"/>
    <w:rsid w:val="00F77F08"/>
    <w:rsid w:val="00F803B9"/>
    <w:rsid w:val="00F821FD"/>
    <w:rsid w:val="00F87F01"/>
    <w:rsid w:val="00F90619"/>
    <w:rsid w:val="00FA0F67"/>
    <w:rsid w:val="00FA4082"/>
    <w:rsid w:val="00FB0CD2"/>
    <w:rsid w:val="00FB355B"/>
    <w:rsid w:val="00FB3599"/>
    <w:rsid w:val="00FB4A9A"/>
    <w:rsid w:val="00FB55EC"/>
    <w:rsid w:val="00FC0A21"/>
    <w:rsid w:val="00FC15B9"/>
    <w:rsid w:val="00FC644E"/>
    <w:rsid w:val="00FC698D"/>
    <w:rsid w:val="00FD6F06"/>
    <w:rsid w:val="00FE45C8"/>
    <w:rsid w:val="00FE51B3"/>
    <w:rsid w:val="00FE5C02"/>
    <w:rsid w:val="00FE758C"/>
    <w:rsid w:val="00FF0684"/>
    <w:rsid w:val="00FF31A9"/>
    <w:rsid w:val="01495CD7"/>
    <w:rsid w:val="0228953C"/>
    <w:rsid w:val="02F96959"/>
    <w:rsid w:val="042D40A9"/>
    <w:rsid w:val="04BA831F"/>
    <w:rsid w:val="06245A04"/>
    <w:rsid w:val="0677A234"/>
    <w:rsid w:val="0BF8D7A9"/>
    <w:rsid w:val="10A9A961"/>
    <w:rsid w:val="1289400B"/>
    <w:rsid w:val="15304958"/>
    <w:rsid w:val="1540F59F"/>
    <w:rsid w:val="189FAE11"/>
    <w:rsid w:val="1A4F8BA0"/>
    <w:rsid w:val="20E3A6CA"/>
    <w:rsid w:val="21FD2783"/>
    <w:rsid w:val="23789A38"/>
    <w:rsid w:val="2824EA55"/>
    <w:rsid w:val="2D6BDDCE"/>
    <w:rsid w:val="2D7F4FD5"/>
    <w:rsid w:val="2E5D2A90"/>
    <w:rsid w:val="307BCC7C"/>
    <w:rsid w:val="32BBC794"/>
    <w:rsid w:val="36225389"/>
    <w:rsid w:val="3740DD19"/>
    <w:rsid w:val="3A2267A2"/>
    <w:rsid w:val="3C0B528B"/>
    <w:rsid w:val="3D88A29C"/>
    <w:rsid w:val="4029DFAE"/>
    <w:rsid w:val="4339139F"/>
    <w:rsid w:val="4541A4F7"/>
    <w:rsid w:val="4A67F166"/>
    <w:rsid w:val="4DE47F01"/>
    <w:rsid w:val="57507867"/>
    <w:rsid w:val="57D161A2"/>
    <w:rsid w:val="594FDB4D"/>
    <w:rsid w:val="59F12197"/>
    <w:rsid w:val="5BB6EF9D"/>
    <w:rsid w:val="5D0A099A"/>
    <w:rsid w:val="5D88E25A"/>
    <w:rsid w:val="60AD7D16"/>
    <w:rsid w:val="6A22D095"/>
    <w:rsid w:val="6A7A89E7"/>
    <w:rsid w:val="6AB41A4B"/>
    <w:rsid w:val="6BEAAB33"/>
    <w:rsid w:val="6C4905C9"/>
    <w:rsid w:val="7367B736"/>
    <w:rsid w:val="769CD258"/>
    <w:rsid w:val="77DAD847"/>
    <w:rsid w:val="78FE238B"/>
    <w:rsid w:val="7BF248BC"/>
    <w:rsid w:val="7C9F2679"/>
    <w:rsid w:val="7D581DFA"/>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45698C"/>
  <w15:docId w15:val="{F2384EBA-19A2-4761-BD62-A6EB652D60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zh-C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ListParagraph">
    <w:name w:val="List Paragraph"/>
    <w:basedOn w:val="Normal"/>
    <w:uiPriority w:val="34"/>
    <w:qFormat/>
    <w:rsid w:val="005F1B77"/>
    <w:pPr>
      <w:ind w:left="720"/>
      <w:contextualSpacing/>
    </w:pPr>
  </w:style>
  <w:style w:type="paragraph" w:styleId="CommentSubject">
    <w:name w:val="annotation subject"/>
    <w:basedOn w:val="CommentText"/>
    <w:next w:val="CommentText"/>
    <w:link w:val="CommentSubjectChar"/>
    <w:uiPriority w:val="99"/>
    <w:semiHidden/>
    <w:unhideWhenUsed/>
    <w:rsid w:val="001A04BD"/>
    <w:rPr>
      <w:b/>
      <w:bCs/>
    </w:rPr>
  </w:style>
  <w:style w:type="character" w:customStyle="1" w:styleId="CommentSubjectChar">
    <w:name w:val="Comment Subject Char"/>
    <w:basedOn w:val="CommentTextChar"/>
    <w:link w:val="CommentSubject"/>
    <w:uiPriority w:val="99"/>
    <w:semiHidden/>
    <w:rsid w:val="001A04BD"/>
    <w:rPr>
      <w:b/>
      <w:bCs/>
      <w:sz w:val="20"/>
      <w:szCs w:val="20"/>
    </w:rPr>
  </w:style>
  <w:style w:type="paragraph" w:styleId="Header">
    <w:name w:val="header"/>
    <w:basedOn w:val="Normal"/>
    <w:link w:val="HeaderChar"/>
    <w:uiPriority w:val="99"/>
    <w:unhideWhenUsed/>
    <w:rsid w:val="00143403"/>
    <w:pPr>
      <w:tabs>
        <w:tab w:val="center" w:pos="4513"/>
        <w:tab w:val="right" w:pos="9026"/>
      </w:tabs>
      <w:spacing w:line="240" w:lineRule="auto"/>
    </w:pPr>
  </w:style>
  <w:style w:type="character" w:customStyle="1" w:styleId="HeaderChar">
    <w:name w:val="Header Char"/>
    <w:basedOn w:val="DefaultParagraphFont"/>
    <w:link w:val="Header"/>
    <w:uiPriority w:val="99"/>
    <w:rsid w:val="00143403"/>
  </w:style>
  <w:style w:type="paragraph" w:styleId="Footer">
    <w:name w:val="footer"/>
    <w:basedOn w:val="Normal"/>
    <w:link w:val="FooterChar"/>
    <w:uiPriority w:val="99"/>
    <w:unhideWhenUsed/>
    <w:rsid w:val="00143403"/>
    <w:pPr>
      <w:tabs>
        <w:tab w:val="center" w:pos="4513"/>
        <w:tab w:val="right" w:pos="9026"/>
      </w:tabs>
      <w:spacing w:line="240" w:lineRule="auto"/>
    </w:pPr>
  </w:style>
  <w:style w:type="character" w:customStyle="1" w:styleId="FooterChar">
    <w:name w:val="Footer Char"/>
    <w:basedOn w:val="DefaultParagraphFont"/>
    <w:link w:val="Footer"/>
    <w:uiPriority w:val="99"/>
    <w:rsid w:val="00143403"/>
  </w:style>
  <w:style w:type="paragraph" w:customStyle="1" w:styleId="zFooter">
    <w:name w:val="z Footer"/>
    <w:basedOn w:val="Normal"/>
    <w:qFormat/>
    <w:rsid w:val="00DD41BB"/>
    <w:pPr>
      <w:jc w:val="center"/>
    </w:pPr>
    <w:rPr>
      <w:rFonts w:ascii="Gellix" w:eastAsia="ヒラギノ角ゴ Pro W3" w:hAnsi="Gellix" w:cs="Times New Roman"/>
      <w:color w:val="4BACC6" w:themeColor="accent5"/>
      <w:sz w:val="16"/>
      <w:szCs w:val="16"/>
      <w:lang w:val="en-US" w:eastAsia="en-US"/>
    </w:rPr>
  </w:style>
  <w:style w:type="paragraph" w:styleId="NormalWeb">
    <w:name w:val="Normal (Web)"/>
    <w:basedOn w:val="Normal"/>
    <w:uiPriority w:val="99"/>
    <w:semiHidden/>
    <w:unhideWhenUsed/>
    <w:rsid w:val="00DD41BB"/>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4220F4"/>
    <w:rPr>
      <w:color w:val="0000FF" w:themeColor="hyperlink"/>
      <w:u w:val="single"/>
    </w:rPr>
  </w:style>
  <w:style w:type="character" w:styleId="UnresolvedMention">
    <w:name w:val="Unresolved Mention"/>
    <w:basedOn w:val="DefaultParagraphFont"/>
    <w:uiPriority w:val="99"/>
    <w:semiHidden/>
    <w:unhideWhenUsed/>
    <w:rsid w:val="004220F4"/>
    <w:rPr>
      <w:color w:val="605E5C"/>
      <w:shd w:val="clear" w:color="auto" w:fill="E1DFDD"/>
    </w:rPr>
  </w:style>
  <w:style w:type="paragraph" w:styleId="Revision">
    <w:name w:val="Revision"/>
    <w:hidden/>
    <w:uiPriority w:val="99"/>
    <w:semiHidden/>
    <w:rsid w:val="00562DA4"/>
    <w:pPr>
      <w:spacing w:line="240" w:lineRule="auto"/>
    </w:pPr>
  </w:style>
  <w:style w:type="paragraph" w:styleId="FootnoteText">
    <w:name w:val="footnote text"/>
    <w:basedOn w:val="Normal"/>
    <w:link w:val="FootnoteTextChar"/>
    <w:uiPriority w:val="99"/>
    <w:semiHidden/>
    <w:unhideWhenUsed/>
    <w:rsid w:val="005104ED"/>
    <w:pPr>
      <w:spacing w:line="240" w:lineRule="auto"/>
    </w:pPr>
    <w:rPr>
      <w:sz w:val="20"/>
      <w:szCs w:val="20"/>
    </w:rPr>
  </w:style>
  <w:style w:type="character" w:customStyle="1" w:styleId="FootnoteTextChar">
    <w:name w:val="Footnote Text Char"/>
    <w:basedOn w:val="DefaultParagraphFont"/>
    <w:link w:val="FootnoteText"/>
    <w:uiPriority w:val="99"/>
    <w:semiHidden/>
    <w:rsid w:val="005104ED"/>
    <w:rPr>
      <w:sz w:val="20"/>
      <w:szCs w:val="20"/>
    </w:rPr>
  </w:style>
  <w:style w:type="character" w:styleId="FootnoteReference">
    <w:name w:val="footnote reference"/>
    <w:basedOn w:val="DefaultParagraphFont"/>
    <w:uiPriority w:val="99"/>
    <w:semiHidden/>
    <w:unhideWhenUsed/>
    <w:rsid w:val="005104E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520357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mofa.go.jp/files/100573473.pdf"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tyles" Target="styles.xml"/><Relationship Id="rId12" Type="http://schemas.openxmlformats.org/officeDocument/2006/relationships/hyperlink" Target="mailto:meni.anastasiadou@iccwbo.org" TargetMode="External"/><Relationship Id="rId17" Type="http://schemas.openxmlformats.org/officeDocument/2006/relationships/hyperlink" Target="https://airc.nist.gov/airmf-resources/crosswalks/" TargetMode="External"/><Relationship Id="rId2" Type="http://schemas.openxmlformats.org/officeDocument/2006/relationships/customXml" Target="../customXml/item2.xml"/><Relationship Id="rId16" Type="http://schemas.openxmlformats.org/officeDocument/2006/relationships/hyperlink" Target="https://www.nist.gov/itl/ai-risk-management-framework"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https://www.un.org/global-digital-compact/sites/default/files/2024-09/Global%20Digital%20Compact%20-%20English_0.pdf" TargetMode="External"/><Relationship Id="rId23"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transparency.oecd.ai/" TargetMode="External"/><Relationship Id="rId22"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notes.xml.rels><?xml version="1.0" encoding="UTF-8" standalone="yes"?>
<Relationships xmlns="http://schemas.openxmlformats.org/package/2006/relationships"><Relationship Id="rId3" Type="http://schemas.openxmlformats.org/officeDocument/2006/relationships/hyperlink" Target="https://unece.org/sites/default/files/2024-04/WhitePaper-Use-Artificial-Intelligence-TF_Eng.pdf?t&amp;utm_source=perplexity" TargetMode="External"/><Relationship Id="rId2" Type="http://schemas.openxmlformats.org/officeDocument/2006/relationships/hyperlink" Target="https://www.un.org/global-digital-compact/sites/default/files/2024-09/Global%20Digital%20Compact%20-%20English_0.pdf" TargetMode="External"/><Relationship Id="rId1" Type="http://schemas.openxmlformats.org/officeDocument/2006/relationships/hyperlink" Target="https://www.wto.org/english/tratop_e/tbt_e/principles_standards_tbt_e.htm"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fecf7fcc-4ac6-4448-a404-5e4417a2ee04">
      <Terms xmlns="http://schemas.microsoft.com/office/infopath/2007/PartnerControls"/>
    </lcf76f155ced4ddcb4097134ff3c332f>
    <TaxCatchAll xmlns="598f140b-4145-4024-8bcc-6d7083f15a24"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4818AE115A3A9419A412E1B8FF46FE3" ma:contentTypeVersion="19" ma:contentTypeDescription="Create a new document." ma:contentTypeScope="" ma:versionID="2cbaa94f8d125d5d481c47f21f7c77cf">
  <xsd:schema xmlns:xsd="http://www.w3.org/2001/XMLSchema" xmlns:xs="http://www.w3.org/2001/XMLSchema" xmlns:p="http://schemas.microsoft.com/office/2006/metadata/properties" xmlns:ns2="fecf7fcc-4ac6-4448-a404-5e4417a2ee04" xmlns:ns3="465ae127-5d1e-48f1-8bba-a4710e9de403" xmlns:ns4="598f140b-4145-4024-8bcc-6d7083f15a24" targetNamespace="http://schemas.microsoft.com/office/2006/metadata/properties" ma:root="true" ma:fieldsID="01876bc0adb8872d459371aef3e18364" ns2:_="" ns3:_="" ns4:_="">
    <xsd:import namespace="fecf7fcc-4ac6-4448-a404-5e4417a2ee04"/>
    <xsd:import namespace="465ae127-5d1e-48f1-8bba-a4710e9de403"/>
    <xsd:import namespace="598f140b-4145-4024-8bcc-6d7083f15a2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lcf76f155ced4ddcb4097134ff3c332f" minOccurs="0"/>
                <xsd:element ref="ns4:TaxCatchAll" minOccurs="0"/>
                <xsd:element ref="ns2:MediaServiceLocation" minOccurs="0"/>
                <xsd:element ref="ns2:MediaLengthInSeconds"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ecf7fcc-4ac6-4448-a404-5e4417a2ee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b34d393a-c683-4ae6-92a3-16801d27c9b4" ma:termSetId="09814cd3-568e-fe90-9814-8d621ff8fb84" ma:anchorId="fba54fb3-c3e1-fe81-a776-ca4b69148c4d" ma:open="true" ma:isKeyword="false">
      <xsd:complexType>
        <xsd:sequence>
          <xsd:element ref="pc:Terms" minOccurs="0" maxOccurs="1"/>
        </xsd:sequence>
      </xsd:complexType>
    </xsd:element>
    <xsd:element name="MediaServiceLocation" ma:index="22" nillable="true" ma:displayName="Location" ma:internalName="MediaServiceLocation"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65ae127-5d1e-48f1-8bba-a4710e9de403"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98f140b-4145-4024-8bcc-6d7083f15a24"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91108c5b-dc04-4112-92d3-dfe3254644ac}" ma:internalName="TaxCatchAll" ma:showField="CatchAllData" ma:web="465ae127-5d1e-48f1-8bba-a4710e9de40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nE2C7MqFG+IIrBHLdWFSC/SPmHQ==">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</go:docsCustomData>
</go:gDocsCustomXmlDataStorage>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2290790-EC1F-427F-BE0E-3653EAB60482}">
  <ds:schemaRefs>
    <ds:schemaRef ds:uri="http://schemas.openxmlformats.org/officeDocument/2006/bibliography"/>
  </ds:schemaRefs>
</ds:datastoreItem>
</file>

<file path=customXml/itemProps2.xml><?xml version="1.0" encoding="utf-8"?>
<ds:datastoreItem xmlns:ds="http://schemas.openxmlformats.org/officeDocument/2006/customXml" ds:itemID="{EA432533-6B0C-4939-9399-5DD0D1E657E8}">
  <ds:schemaRefs>
    <ds:schemaRef ds:uri="http://schemas.microsoft.com/office/2006/metadata/properties"/>
    <ds:schemaRef ds:uri="http://schemas.microsoft.com/office/infopath/2007/PartnerControls"/>
    <ds:schemaRef ds:uri="fecf7fcc-4ac6-4448-a404-5e4417a2ee04"/>
    <ds:schemaRef ds:uri="598f140b-4145-4024-8bcc-6d7083f15a24"/>
  </ds:schemaRefs>
</ds:datastoreItem>
</file>

<file path=customXml/itemProps3.xml><?xml version="1.0" encoding="utf-8"?>
<ds:datastoreItem xmlns:ds="http://schemas.openxmlformats.org/officeDocument/2006/customXml" ds:itemID="{C51A7EA1-2588-4284-8E9A-2830674D01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ecf7fcc-4ac6-4448-a404-5e4417a2ee04"/>
    <ds:schemaRef ds:uri="465ae127-5d1e-48f1-8bba-a4710e9de403"/>
    <ds:schemaRef ds:uri="598f140b-4145-4024-8bcc-6d7083f15a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5.xml><?xml version="1.0" encoding="utf-8"?>
<ds:datastoreItem xmlns:ds="http://schemas.openxmlformats.org/officeDocument/2006/customXml" ds:itemID="{785D675B-9F78-43EA-8654-3A783C58CEFD}">
  <ds:schemaRefs>
    <ds:schemaRef ds:uri="http://schemas.microsoft.com/sharepoint/v3/contenttype/forms"/>
  </ds:schemaRefs>
</ds:datastoreItem>
</file>

<file path=docMetadata/LabelInfo.xml><?xml version="1.0" encoding="utf-8"?>
<clbl:labelList xmlns:clbl="http://schemas.microsoft.com/office/2020/mipLabelMetadata">
  <clbl:label id="{c541a3c6-520b-49ce-8220-2228ac7c3626}" enabled="0" method="" siteId="{c541a3c6-520b-49ce-8220-2228ac7c3626}" removed="1"/>
  <clbl:label id="{e65bd4d2-aa7c-445f-9ef8-222ebb1d2b43}" enabled="1" method="Privileged" siteId="{9744600e-3e04-492e-baa1-25ec245c6f10}"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11</Pages>
  <Words>3953</Words>
  <Characters>22536</Characters>
  <Application>Microsoft Office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26437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ANASTASIADOU Meni</dc:creator>
  <cp:lastModifiedBy>ANASTASIADOU Meni</cp:lastModifiedBy>
  <cp:revision>150</cp:revision>
  <cp:lastPrinted>2025-06-02T06:39:00Z</cp:lastPrinted>
  <dcterms:created xsi:type="dcterms:W3CDTF">2025-05-28T19:12:00Z</dcterms:created>
  <dcterms:modified xsi:type="dcterms:W3CDTF">2025-06-03T16:33:00Z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lassificationContentMarkingFooterShapeIds">
    <vt:lpwstr>2dedce60,447dd03c,1c2a12cd,314beeda,6f7925d9,6dd94ae6</vt:lpwstr>
  </property>
  <property fmtid="{D5CDD505-2E9C-101B-9397-08002B2CF9AE}" pid="4" name="ClassificationContentMarkingFooterFontProps">
    <vt:lpwstr>#000000,7,Arial</vt:lpwstr>
  </property>
  <property fmtid="{D5CDD505-2E9C-101B-9397-08002B2CF9AE}" pid="5" name="ClassificationContentMarkingFooterText">
    <vt:lpwstr>***Este documento está clasificado como PUBLICO por TELEFÓNICA.
***This document is classified as PUBLIC by TELEFÓNICA.</vt:lpwstr>
  </property>
  <property fmtid="{D5CDD505-2E9C-101B-9397-08002B2CF9AE}" pid="6" name="MSIP_Label_4fc996bf-6aee-415c-aa4c-e35ad0009c67_Enabled">
    <vt:lpwstr>true</vt:lpwstr>
  </property>
  <property fmtid="{D5CDD505-2E9C-101B-9397-08002B2CF9AE}" pid="7" name="MSIP_Label_4fc996bf-6aee-415c-aa4c-e35ad0009c67_SetDate">
    <vt:lpwstr>2025-04-16T20:34:06Z</vt:lpwstr>
  </property>
  <property fmtid="{D5CDD505-2E9C-101B-9397-08002B2CF9AE}" pid="8" name="MSIP_Label_4fc996bf-6aee-415c-aa4c-e35ad0009c67_Method">
    <vt:lpwstr>Standard</vt:lpwstr>
  </property>
  <property fmtid="{D5CDD505-2E9C-101B-9397-08002B2CF9AE}" pid="9" name="MSIP_Label_4fc996bf-6aee-415c-aa4c-e35ad0009c67_Name">
    <vt:lpwstr>Compartilhamento Interno</vt:lpwstr>
  </property>
  <property fmtid="{D5CDD505-2E9C-101B-9397-08002B2CF9AE}" pid="10" name="MSIP_Label_4fc996bf-6aee-415c-aa4c-e35ad0009c67_SiteId">
    <vt:lpwstr>591669a0-183f-49a5-98f4-9aa0d0b63d81</vt:lpwstr>
  </property>
  <property fmtid="{D5CDD505-2E9C-101B-9397-08002B2CF9AE}" pid="11" name="MSIP_Label_4fc996bf-6aee-415c-aa4c-e35ad0009c67_ActionId">
    <vt:lpwstr>689c7f9f-5a34-4148-b30a-98c657bc27e5</vt:lpwstr>
  </property>
  <property fmtid="{D5CDD505-2E9C-101B-9397-08002B2CF9AE}" pid="12" name="MSIP_Label_4fc996bf-6aee-415c-aa4c-e35ad0009c67_ContentBits">
    <vt:lpwstr>2</vt:lpwstr>
  </property>
  <property fmtid="{D5CDD505-2E9C-101B-9397-08002B2CF9AE}" pid="13" name="MSIP_Label_4fc996bf-6aee-415c-aa4c-e35ad0009c67_Tag">
    <vt:lpwstr>10, 3, 0, 1</vt:lpwstr>
  </property>
  <property fmtid="{D5CDD505-2E9C-101B-9397-08002B2CF9AE}" pid="14" name="ContentTypeId">
    <vt:lpwstr>0x01010094818AE115A3A9419A412E1B8FF46FE3</vt:lpwstr>
  </property>
</Properties>
</file>