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7734" w14:textId="13BCF195" w:rsidR="006D038B" w:rsidRPr="00AB0B5B" w:rsidRDefault="00877B3B" w:rsidP="00CB4ABD">
      <w:pPr>
        <w:spacing w:after="0"/>
        <w:jc w:val="center"/>
        <w:rPr>
          <w:rFonts w:ascii="Gellix" w:hAnsi="Gellix"/>
          <w:b/>
          <w:bCs/>
          <w:sz w:val="28"/>
          <w:szCs w:val="28"/>
        </w:rPr>
      </w:pPr>
      <w:bookmarkStart w:id="0" w:name="_Hlk198058892"/>
      <w:r w:rsidRPr="00AB0B5B">
        <w:rPr>
          <w:rFonts w:ascii="Gellix" w:hAnsi="Gellix"/>
          <w:b/>
          <w:bCs/>
          <w:sz w:val="28"/>
          <w:szCs w:val="28"/>
        </w:rPr>
        <w:t xml:space="preserve">Enhancing Climate Finance in EMDEs through Prudential Regulatory </w:t>
      </w:r>
      <w:r w:rsidR="00410D5A" w:rsidRPr="00AB0B5B">
        <w:rPr>
          <w:rFonts w:ascii="Gellix" w:hAnsi="Gellix"/>
          <w:b/>
          <w:bCs/>
          <w:sz w:val="28"/>
          <w:szCs w:val="28"/>
        </w:rPr>
        <w:t xml:space="preserve">Clarification and </w:t>
      </w:r>
      <w:r w:rsidRPr="00AB0B5B">
        <w:rPr>
          <w:rFonts w:ascii="Gellix" w:hAnsi="Gellix"/>
          <w:b/>
          <w:bCs/>
          <w:sz w:val="28"/>
          <w:szCs w:val="28"/>
        </w:rPr>
        <w:t>Reform</w:t>
      </w:r>
    </w:p>
    <w:bookmarkEnd w:id="0"/>
    <w:p w14:paraId="7D3076D2" w14:textId="13BCF195" w:rsidR="00CB4ABD" w:rsidRPr="00AB0B5B" w:rsidRDefault="00CB4ABD" w:rsidP="00742CBE">
      <w:pPr>
        <w:rPr>
          <w:rFonts w:ascii="Gellix" w:hAnsi="Gellix"/>
          <w:b/>
          <w:bCs/>
          <w:sz w:val="22"/>
          <w:szCs w:val="22"/>
        </w:rPr>
      </w:pPr>
      <w:r w:rsidRPr="00AB0B5B">
        <w:rPr>
          <w:rFonts w:ascii="Gellix" w:hAnsi="Gellix"/>
          <w:noProof/>
          <w:sz w:val="28"/>
          <w:szCs w:val="28"/>
        </w:rPr>
        <mc:AlternateContent>
          <mc:Choice Requires="wps">
            <w:drawing>
              <wp:anchor distT="45720" distB="45720" distL="114300" distR="114300" simplePos="0" relativeHeight="251660800" behindDoc="0" locked="0" layoutInCell="1" allowOverlap="1" wp14:anchorId="44FFBEF8" wp14:editId="115FD4CE">
                <wp:simplePos x="0" y="0"/>
                <wp:positionH relativeFrom="column">
                  <wp:posOffset>113665</wp:posOffset>
                </wp:positionH>
                <wp:positionV relativeFrom="paragraph">
                  <wp:posOffset>59501</wp:posOffset>
                </wp:positionV>
                <wp:extent cx="5571490" cy="3576320"/>
                <wp:effectExtent l="0" t="0" r="10160" b="24130"/>
                <wp:wrapSquare wrapText="bothSides"/>
                <wp:docPr id="1749091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3576320"/>
                        </a:xfrm>
                        <a:prstGeom prst="rect">
                          <a:avLst/>
                        </a:prstGeom>
                        <a:solidFill>
                          <a:schemeClr val="bg1">
                            <a:lumMod val="85000"/>
                          </a:schemeClr>
                        </a:solidFill>
                        <a:ln w="9525">
                          <a:solidFill>
                            <a:srgbClr val="000000"/>
                          </a:solidFill>
                          <a:miter lim="800000"/>
                          <a:headEnd/>
                          <a:tailEnd/>
                        </a:ln>
                      </wps:spPr>
                      <wps:txbx>
                        <w:txbxContent>
                          <w:p w14:paraId="6E83895D" w14:textId="56943465" w:rsidR="00D17CCE" w:rsidRPr="000871DD" w:rsidRDefault="00D17CCE" w:rsidP="00D17CCE">
                            <w:pPr>
                              <w:pStyle w:val="ListParagraph"/>
                              <w:numPr>
                                <w:ilvl w:val="0"/>
                                <w:numId w:val="13"/>
                              </w:numPr>
                              <w:spacing w:after="0"/>
                              <w:rPr>
                                <w:rFonts w:ascii="Gellix" w:hAnsi="Gellix"/>
                                <w:sz w:val="21"/>
                                <w:szCs w:val="21"/>
                              </w:rPr>
                            </w:pPr>
                            <w:r w:rsidRPr="000871DD">
                              <w:rPr>
                                <w:rFonts w:ascii="Gellix" w:hAnsi="Gellix"/>
                                <w:b/>
                                <w:bCs/>
                                <w:sz w:val="21"/>
                                <w:szCs w:val="21"/>
                              </w:rPr>
                              <w:t>Private climate finance to EMDEs is falling</w:t>
                            </w:r>
                            <w:r w:rsidRPr="000871DD">
                              <w:rPr>
                                <w:rFonts w:ascii="Gellix" w:hAnsi="Gellix"/>
                                <w:sz w:val="21"/>
                                <w:szCs w:val="21"/>
                              </w:rPr>
                              <w:t>, despite these countries representing 25% of global GDP and requiring an additional $450–550 billion annually in external climate investment by 2030.</w:t>
                            </w:r>
                          </w:p>
                          <w:p w14:paraId="0849490C" w14:textId="7485D796" w:rsidR="00D17CCE" w:rsidRPr="000871DD" w:rsidRDefault="00D17CCE" w:rsidP="00525B88">
                            <w:pPr>
                              <w:pStyle w:val="ListParagraph"/>
                              <w:numPr>
                                <w:ilvl w:val="0"/>
                                <w:numId w:val="13"/>
                              </w:numPr>
                              <w:spacing w:after="0"/>
                              <w:rPr>
                                <w:rFonts w:ascii="Gellix" w:hAnsi="Gellix"/>
                                <w:sz w:val="21"/>
                                <w:szCs w:val="21"/>
                              </w:rPr>
                            </w:pPr>
                            <w:r w:rsidRPr="000871DD">
                              <w:rPr>
                                <w:rFonts w:ascii="Gellix" w:hAnsi="Gellix"/>
                                <w:b/>
                                <w:bCs/>
                                <w:sz w:val="21"/>
                                <w:szCs w:val="21"/>
                              </w:rPr>
                              <w:t>Basel III rules, as currently interpreted, unintentionally discourage EMDE lending</w:t>
                            </w:r>
                            <w:r w:rsidRPr="000871DD">
                              <w:rPr>
                                <w:rFonts w:ascii="Gellix" w:hAnsi="Gellix"/>
                                <w:sz w:val="21"/>
                                <w:szCs w:val="21"/>
                              </w:rPr>
                              <w:t xml:space="preserve">, </w:t>
                            </w:r>
                            <w:r w:rsidR="00613D21" w:rsidRPr="000871DD">
                              <w:rPr>
                                <w:rFonts w:ascii="Gellix" w:hAnsi="Gellix"/>
                                <w:sz w:val="21"/>
                                <w:szCs w:val="21"/>
                              </w:rPr>
                              <w:t xml:space="preserve">including by </w:t>
                            </w:r>
                            <w:r w:rsidR="00D67F82" w:rsidRPr="000871DD">
                              <w:rPr>
                                <w:rFonts w:ascii="Gellix" w:hAnsi="Gellix"/>
                                <w:sz w:val="21"/>
                                <w:szCs w:val="21"/>
                              </w:rPr>
                              <w:t>unnecessarily</w:t>
                            </w:r>
                            <w:r w:rsidRPr="000871DD">
                              <w:rPr>
                                <w:rFonts w:ascii="Gellix" w:hAnsi="Gellix"/>
                                <w:sz w:val="21"/>
                                <w:szCs w:val="21"/>
                              </w:rPr>
                              <w:t xml:space="preserve"> limiting recognition of </w:t>
                            </w:r>
                            <w:r w:rsidR="00D67F82" w:rsidRPr="000871DD">
                              <w:rPr>
                                <w:rFonts w:ascii="Gellix" w:hAnsi="Gellix"/>
                                <w:sz w:val="21"/>
                                <w:szCs w:val="21"/>
                              </w:rPr>
                              <w:t xml:space="preserve">robust </w:t>
                            </w:r>
                            <w:r w:rsidRPr="000871DD">
                              <w:rPr>
                                <w:rFonts w:ascii="Gellix" w:hAnsi="Gellix"/>
                                <w:sz w:val="21"/>
                                <w:szCs w:val="21"/>
                              </w:rPr>
                              <w:t>credit enhancement tools</w:t>
                            </w:r>
                            <w:r w:rsidR="00525B88" w:rsidRPr="000871DD">
                              <w:rPr>
                                <w:rFonts w:ascii="Gellix" w:hAnsi="Gellix"/>
                                <w:sz w:val="21"/>
                                <w:szCs w:val="21"/>
                              </w:rPr>
                              <w:t xml:space="preserve">. </w:t>
                            </w:r>
                          </w:p>
                          <w:p w14:paraId="7E83F360" w14:textId="081BB1C9" w:rsidR="00D17CCE" w:rsidRPr="000871DD" w:rsidRDefault="00D17CCE" w:rsidP="00D17CCE">
                            <w:pPr>
                              <w:pStyle w:val="ListParagraph"/>
                              <w:numPr>
                                <w:ilvl w:val="0"/>
                                <w:numId w:val="13"/>
                              </w:numPr>
                              <w:spacing w:after="0"/>
                              <w:rPr>
                                <w:rFonts w:ascii="Gellix" w:hAnsi="Gellix"/>
                                <w:sz w:val="21"/>
                                <w:szCs w:val="21"/>
                              </w:rPr>
                            </w:pPr>
                            <w:r w:rsidRPr="000871DD">
                              <w:rPr>
                                <w:rFonts w:ascii="Gellix" w:hAnsi="Gellix"/>
                                <w:b/>
                                <w:bCs/>
                                <w:sz w:val="21"/>
                                <w:szCs w:val="21"/>
                              </w:rPr>
                              <w:t xml:space="preserve">Project finance is </w:t>
                            </w:r>
                            <w:r w:rsidR="00E56089" w:rsidRPr="000871DD">
                              <w:rPr>
                                <w:rFonts w:ascii="Gellix" w:hAnsi="Gellix"/>
                                <w:b/>
                                <w:bCs/>
                                <w:sz w:val="21"/>
                                <w:szCs w:val="21"/>
                              </w:rPr>
                              <w:t xml:space="preserve">treated highly </w:t>
                            </w:r>
                            <w:r w:rsidR="00431916" w:rsidRPr="000871DD">
                              <w:rPr>
                                <w:rFonts w:ascii="Gellix" w:hAnsi="Gellix"/>
                                <w:b/>
                                <w:bCs/>
                                <w:sz w:val="21"/>
                                <w:szCs w:val="21"/>
                              </w:rPr>
                              <w:t>conservatively</w:t>
                            </w:r>
                            <w:r w:rsidRPr="000871DD">
                              <w:rPr>
                                <w:rFonts w:ascii="Gellix" w:hAnsi="Gellix"/>
                                <w:b/>
                                <w:bCs/>
                                <w:sz w:val="21"/>
                                <w:szCs w:val="21"/>
                              </w:rPr>
                              <w:t xml:space="preserve"> under </w:t>
                            </w:r>
                            <w:r w:rsidR="00D67F82" w:rsidRPr="000871DD">
                              <w:rPr>
                                <w:rFonts w:ascii="Gellix" w:hAnsi="Gellix"/>
                                <w:b/>
                                <w:bCs/>
                                <w:sz w:val="21"/>
                                <w:szCs w:val="21"/>
                              </w:rPr>
                              <w:t>Basel cap</w:t>
                            </w:r>
                            <w:r w:rsidR="00045767" w:rsidRPr="000871DD">
                              <w:rPr>
                                <w:rFonts w:ascii="Gellix" w:hAnsi="Gellix"/>
                                <w:b/>
                                <w:bCs/>
                                <w:sz w:val="21"/>
                                <w:szCs w:val="21"/>
                              </w:rPr>
                              <w:t>ital calculation</w:t>
                            </w:r>
                            <w:r w:rsidRPr="000871DD">
                              <w:rPr>
                                <w:rFonts w:ascii="Gellix" w:hAnsi="Gellix"/>
                                <w:b/>
                                <w:bCs/>
                                <w:sz w:val="21"/>
                                <w:szCs w:val="21"/>
                              </w:rPr>
                              <w:t xml:space="preserve"> </w:t>
                            </w:r>
                            <w:r w:rsidR="00076A29" w:rsidRPr="000871DD">
                              <w:rPr>
                                <w:rFonts w:ascii="Gellix" w:hAnsi="Gellix"/>
                                <w:b/>
                                <w:bCs/>
                                <w:sz w:val="21"/>
                                <w:szCs w:val="21"/>
                              </w:rPr>
                              <w:t>a</w:t>
                            </w:r>
                            <w:r w:rsidRPr="000871DD">
                              <w:rPr>
                                <w:rFonts w:ascii="Gellix" w:hAnsi="Gellix"/>
                                <w:b/>
                                <w:bCs/>
                                <w:sz w:val="21"/>
                                <w:szCs w:val="21"/>
                              </w:rPr>
                              <w:t>pproaches</w:t>
                            </w:r>
                            <w:r w:rsidRPr="000871DD">
                              <w:rPr>
                                <w:rFonts w:ascii="Gellix" w:hAnsi="Gellix"/>
                                <w:sz w:val="21"/>
                                <w:szCs w:val="21"/>
                              </w:rPr>
                              <w:t>, despite strong data showing lower-than-expected default rates and high recovery rates over time.</w:t>
                            </w:r>
                          </w:p>
                          <w:p w14:paraId="4EDF8B04" w14:textId="13DE5509" w:rsidR="00525B88" w:rsidRPr="000871DD" w:rsidRDefault="00525B88" w:rsidP="00525B88">
                            <w:pPr>
                              <w:pStyle w:val="ListParagraph"/>
                              <w:numPr>
                                <w:ilvl w:val="0"/>
                                <w:numId w:val="13"/>
                              </w:numPr>
                              <w:spacing w:after="0"/>
                              <w:rPr>
                                <w:rFonts w:ascii="Gellix" w:hAnsi="Gellix"/>
                                <w:sz w:val="21"/>
                                <w:szCs w:val="21"/>
                              </w:rPr>
                            </w:pPr>
                            <w:r w:rsidRPr="000871DD">
                              <w:rPr>
                                <w:rFonts w:ascii="Gellix" w:hAnsi="Gellix"/>
                                <w:b/>
                                <w:bCs/>
                                <w:sz w:val="21"/>
                                <w:szCs w:val="21"/>
                              </w:rPr>
                              <w:t>Country risk ceilings often overstate risk for EMDE exposures</w:t>
                            </w:r>
                            <w:r w:rsidRPr="000871DD">
                              <w:rPr>
                                <w:rFonts w:ascii="Gellix" w:hAnsi="Gellix"/>
                                <w:sz w:val="21"/>
                                <w:szCs w:val="21"/>
                              </w:rPr>
                              <w:t xml:space="preserve">, limiting bank participation even in high-quality, co-financed projects </w:t>
                            </w:r>
                            <w:r w:rsidR="00045767" w:rsidRPr="000871DD">
                              <w:rPr>
                                <w:rFonts w:ascii="Gellix" w:hAnsi="Gellix"/>
                                <w:sz w:val="21"/>
                                <w:szCs w:val="21"/>
                              </w:rPr>
                              <w:t>– thus</w:t>
                            </w:r>
                            <w:r w:rsidRPr="000871DD">
                              <w:rPr>
                                <w:rFonts w:ascii="Gellix" w:hAnsi="Gellix"/>
                                <w:sz w:val="21"/>
                                <w:szCs w:val="21"/>
                              </w:rPr>
                              <w:t xml:space="preserve"> driving up the cost of capital.</w:t>
                            </w:r>
                          </w:p>
                          <w:p w14:paraId="1C824416" w14:textId="46E6677C" w:rsidR="00D17CCE" w:rsidRPr="000871DD" w:rsidRDefault="00D17CCE" w:rsidP="00076A29">
                            <w:pPr>
                              <w:pStyle w:val="ListParagraph"/>
                              <w:numPr>
                                <w:ilvl w:val="0"/>
                                <w:numId w:val="13"/>
                              </w:numPr>
                              <w:spacing w:after="0"/>
                              <w:rPr>
                                <w:rFonts w:ascii="Gellix" w:hAnsi="Gellix"/>
                                <w:sz w:val="21"/>
                                <w:szCs w:val="21"/>
                              </w:rPr>
                            </w:pPr>
                            <w:r w:rsidRPr="000871DD">
                              <w:rPr>
                                <w:rFonts w:ascii="Gellix" w:hAnsi="Gellix"/>
                                <w:b/>
                                <w:bCs/>
                                <w:sz w:val="21"/>
                                <w:szCs w:val="21"/>
                              </w:rPr>
                              <w:t>Targeted clarifications and reforms to the Basel framework could unlock significant volumes of private investment</w:t>
                            </w:r>
                            <w:r w:rsidRPr="000871DD">
                              <w:rPr>
                                <w:rFonts w:ascii="Gellix" w:hAnsi="Gellix"/>
                                <w:sz w:val="21"/>
                                <w:szCs w:val="21"/>
                              </w:rPr>
                              <w:t xml:space="preserve"> in high-impact, climate-aligned EMDE projects</w:t>
                            </w:r>
                            <w:r w:rsidR="00E56089" w:rsidRPr="000871DD">
                              <w:rPr>
                                <w:rFonts w:ascii="Gellix" w:hAnsi="Gellix"/>
                                <w:sz w:val="21"/>
                                <w:szCs w:val="21"/>
                              </w:rPr>
                              <w:t xml:space="preserve"> – </w:t>
                            </w:r>
                            <w:r w:rsidRPr="000871DD">
                              <w:rPr>
                                <w:rFonts w:ascii="Gellix" w:hAnsi="Gellix"/>
                                <w:sz w:val="21"/>
                                <w:szCs w:val="21"/>
                              </w:rPr>
                              <w:t>without compromising financial stability.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FBEF8" id="_x0000_t202" coordsize="21600,21600" o:spt="202" path="m,l,21600r21600,l21600,xe">
                <v:stroke joinstyle="miter"/>
                <v:path gradientshapeok="t" o:connecttype="rect"/>
              </v:shapetype>
              <v:shape id="Text Box 2" o:spid="_x0000_s1026" type="#_x0000_t202" style="position:absolute;margin-left:8.95pt;margin-top:4.7pt;width:438.7pt;height:281.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" fillcolor="#d8d8d8 [2732]">
                <v:textbox>
                  <w:txbxContent>
                    <w:p w14:paraId="6E83895D" w14:textId="56943465" w:rsidR="00D17CCE" w:rsidRPr="000871DD" w:rsidRDefault="00D17CCE" w:rsidP="00D17CCE">
                      <w:pPr>
                        <w:pStyle w:val="ListParagraph"/>
                        <w:numPr>
                          <w:ilvl w:val="0"/>
                          <w:numId w:val="13"/>
                        </w:numPr>
                        <w:spacing w:after="0"/>
                        <w:rPr>
                          <w:rFonts w:ascii="Gellix" w:hAnsi="Gellix"/>
                          <w:sz w:val="21"/>
                          <w:szCs w:val="21"/>
                        </w:rPr>
                      </w:pPr>
                      <w:r w:rsidRPr="000871DD">
                        <w:rPr>
                          <w:rFonts w:ascii="Gellix" w:hAnsi="Gellix"/>
                          <w:b/>
                          <w:bCs/>
                          <w:sz w:val="21"/>
                          <w:szCs w:val="21"/>
                        </w:rPr>
                        <w:t>Private climate finance to EMDEs is falling</w:t>
                      </w:r>
                      <w:r w:rsidRPr="000871DD">
                        <w:rPr>
                          <w:rFonts w:ascii="Gellix" w:hAnsi="Gellix"/>
                          <w:sz w:val="21"/>
                          <w:szCs w:val="21"/>
                        </w:rPr>
                        <w:t>, despite these countries representing 25% of global GDP and requiring an additional $450–550 billion annually in external climate investment by 2030.</w:t>
                      </w:r>
                    </w:p>
                    <w:p w14:paraId="0849490C" w14:textId="7485D796" w:rsidR="00D17CCE" w:rsidRPr="000871DD" w:rsidRDefault="00D17CCE" w:rsidP="00525B88">
                      <w:pPr>
                        <w:pStyle w:val="ListParagraph"/>
                        <w:numPr>
                          <w:ilvl w:val="0"/>
                          <w:numId w:val="13"/>
                        </w:numPr>
                        <w:spacing w:after="0"/>
                        <w:rPr>
                          <w:rFonts w:ascii="Gellix" w:hAnsi="Gellix"/>
                          <w:sz w:val="21"/>
                          <w:szCs w:val="21"/>
                        </w:rPr>
                      </w:pPr>
                      <w:r w:rsidRPr="000871DD">
                        <w:rPr>
                          <w:rFonts w:ascii="Gellix" w:hAnsi="Gellix"/>
                          <w:b/>
                          <w:bCs/>
                          <w:sz w:val="21"/>
                          <w:szCs w:val="21"/>
                        </w:rPr>
                        <w:t>Basel III rules, as currently interpreted, unintentionally discourage EMDE lending</w:t>
                      </w:r>
                      <w:r w:rsidRPr="000871DD">
                        <w:rPr>
                          <w:rFonts w:ascii="Gellix" w:hAnsi="Gellix"/>
                          <w:sz w:val="21"/>
                          <w:szCs w:val="21"/>
                        </w:rPr>
                        <w:t xml:space="preserve">, </w:t>
                      </w:r>
                      <w:r w:rsidR="00613D21" w:rsidRPr="000871DD">
                        <w:rPr>
                          <w:rFonts w:ascii="Gellix" w:hAnsi="Gellix"/>
                          <w:sz w:val="21"/>
                          <w:szCs w:val="21"/>
                        </w:rPr>
                        <w:t xml:space="preserve">including by </w:t>
                      </w:r>
                      <w:r w:rsidR="00D67F82" w:rsidRPr="000871DD">
                        <w:rPr>
                          <w:rFonts w:ascii="Gellix" w:hAnsi="Gellix"/>
                          <w:sz w:val="21"/>
                          <w:szCs w:val="21"/>
                        </w:rPr>
                        <w:t>unnecessarily</w:t>
                      </w:r>
                      <w:r w:rsidRPr="000871DD">
                        <w:rPr>
                          <w:rFonts w:ascii="Gellix" w:hAnsi="Gellix"/>
                          <w:sz w:val="21"/>
                          <w:szCs w:val="21"/>
                        </w:rPr>
                        <w:t xml:space="preserve"> limiting recognition of </w:t>
                      </w:r>
                      <w:r w:rsidR="00D67F82" w:rsidRPr="000871DD">
                        <w:rPr>
                          <w:rFonts w:ascii="Gellix" w:hAnsi="Gellix"/>
                          <w:sz w:val="21"/>
                          <w:szCs w:val="21"/>
                        </w:rPr>
                        <w:t xml:space="preserve">robust </w:t>
                      </w:r>
                      <w:r w:rsidRPr="000871DD">
                        <w:rPr>
                          <w:rFonts w:ascii="Gellix" w:hAnsi="Gellix"/>
                          <w:sz w:val="21"/>
                          <w:szCs w:val="21"/>
                        </w:rPr>
                        <w:t>credit enhancement tools</w:t>
                      </w:r>
                      <w:r w:rsidR="00525B88" w:rsidRPr="000871DD">
                        <w:rPr>
                          <w:rFonts w:ascii="Gellix" w:hAnsi="Gellix"/>
                          <w:sz w:val="21"/>
                          <w:szCs w:val="21"/>
                        </w:rPr>
                        <w:t xml:space="preserve">. </w:t>
                      </w:r>
                    </w:p>
                    <w:p w14:paraId="7E83F360" w14:textId="081BB1C9" w:rsidR="00D17CCE" w:rsidRPr="000871DD" w:rsidRDefault="00D17CCE" w:rsidP="00D17CCE">
                      <w:pPr>
                        <w:pStyle w:val="ListParagraph"/>
                        <w:numPr>
                          <w:ilvl w:val="0"/>
                          <w:numId w:val="13"/>
                        </w:numPr>
                        <w:spacing w:after="0"/>
                        <w:rPr>
                          <w:rFonts w:ascii="Gellix" w:hAnsi="Gellix"/>
                          <w:sz w:val="21"/>
                          <w:szCs w:val="21"/>
                        </w:rPr>
                      </w:pPr>
                      <w:r w:rsidRPr="000871DD">
                        <w:rPr>
                          <w:rFonts w:ascii="Gellix" w:hAnsi="Gellix"/>
                          <w:b/>
                          <w:bCs/>
                          <w:sz w:val="21"/>
                          <w:szCs w:val="21"/>
                        </w:rPr>
                        <w:t xml:space="preserve">Project finance is </w:t>
                      </w:r>
                      <w:r w:rsidR="00E56089" w:rsidRPr="000871DD">
                        <w:rPr>
                          <w:rFonts w:ascii="Gellix" w:hAnsi="Gellix"/>
                          <w:b/>
                          <w:bCs/>
                          <w:sz w:val="21"/>
                          <w:szCs w:val="21"/>
                        </w:rPr>
                        <w:t xml:space="preserve">treated highly </w:t>
                      </w:r>
                      <w:r w:rsidR="00431916" w:rsidRPr="000871DD">
                        <w:rPr>
                          <w:rFonts w:ascii="Gellix" w:hAnsi="Gellix"/>
                          <w:b/>
                          <w:bCs/>
                          <w:sz w:val="21"/>
                          <w:szCs w:val="21"/>
                        </w:rPr>
                        <w:t>conservatively</w:t>
                      </w:r>
                      <w:r w:rsidRPr="000871DD">
                        <w:rPr>
                          <w:rFonts w:ascii="Gellix" w:hAnsi="Gellix"/>
                          <w:b/>
                          <w:bCs/>
                          <w:sz w:val="21"/>
                          <w:szCs w:val="21"/>
                        </w:rPr>
                        <w:t xml:space="preserve"> under </w:t>
                      </w:r>
                      <w:r w:rsidR="00D67F82" w:rsidRPr="000871DD">
                        <w:rPr>
                          <w:rFonts w:ascii="Gellix" w:hAnsi="Gellix"/>
                          <w:b/>
                          <w:bCs/>
                          <w:sz w:val="21"/>
                          <w:szCs w:val="21"/>
                        </w:rPr>
                        <w:t>Basel cap</w:t>
                      </w:r>
                      <w:r w:rsidR="00045767" w:rsidRPr="000871DD">
                        <w:rPr>
                          <w:rFonts w:ascii="Gellix" w:hAnsi="Gellix"/>
                          <w:b/>
                          <w:bCs/>
                          <w:sz w:val="21"/>
                          <w:szCs w:val="21"/>
                        </w:rPr>
                        <w:t>ital calculation</w:t>
                      </w:r>
                      <w:r w:rsidRPr="000871DD">
                        <w:rPr>
                          <w:rFonts w:ascii="Gellix" w:hAnsi="Gellix"/>
                          <w:b/>
                          <w:bCs/>
                          <w:sz w:val="21"/>
                          <w:szCs w:val="21"/>
                        </w:rPr>
                        <w:t xml:space="preserve"> </w:t>
                      </w:r>
                      <w:r w:rsidR="00076A29" w:rsidRPr="000871DD">
                        <w:rPr>
                          <w:rFonts w:ascii="Gellix" w:hAnsi="Gellix"/>
                          <w:b/>
                          <w:bCs/>
                          <w:sz w:val="21"/>
                          <w:szCs w:val="21"/>
                        </w:rPr>
                        <w:t>a</w:t>
                      </w:r>
                      <w:r w:rsidRPr="000871DD">
                        <w:rPr>
                          <w:rFonts w:ascii="Gellix" w:hAnsi="Gellix"/>
                          <w:b/>
                          <w:bCs/>
                          <w:sz w:val="21"/>
                          <w:szCs w:val="21"/>
                        </w:rPr>
                        <w:t>pproaches</w:t>
                      </w:r>
                      <w:r w:rsidRPr="000871DD">
                        <w:rPr>
                          <w:rFonts w:ascii="Gellix" w:hAnsi="Gellix"/>
                          <w:sz w:val="21"/>
                          <w:szCs w:val="21"/>
                        </w:rPr>
                        <w:t>, despite strong data showing lower-than-expected default rates and high recovery rates over time.</w:t>
                      </w:r>
                    </w:p>
                    <w:p w14:paraId="4EDF8B04" w14:textId="13DE5509" w:rsidR="00525B88" w:rsidRPr="000871DD" w:rsidRDefault="00525B88" w:rsidP="00525B88">
                      <w:pPr>
                        <w:pStyle w:val="ListParagraph"/>
                        <w:numPr>
                          <w:ilvl w:val="0"/>
                          <w:numId w:val="13"/>
                        </w:numPr>
                        <w:spacing w:after="0"/>
                        <w:rPr>
                          <w:rFonts w:ascii="Gellix" w:hAnsi="Gellix"/>
                          <w:sz w:val="21"/>
                          <w:szCs w:val="21"/>
                        </w:rPr>
                      </w:pPr>
                      <w:r w:rsidRPr="000871DD">
                        <w:rPr>
                          <w:rFonts w:ascii="Gellix" w:hAnsi="Gellix"/>
                          <w:b/>
                          <w:bCs/>
                          <w:sz w:val="21"/>
                          <w:szCs w:val="21"/>
                        </w:rPr>
                        <w:t>Country risk ceilings often overstate risk for EMDE exposures</w:t>
                      </w:r>
                      <w:r w:rsidRPr="000871DD">
                        <w:rPr>
                          <w:rFonts w:ascii="Gellix" w:hAnsi="Gellix"/>
                          <w:sz w:val="21"/>
                          <w:szCs w:val="21"/>
                        </w:rPr>
                        <w:t xml:space="preserve">, limiting bank participation even in high-quality, co-financed projects </w:t>
                      </w:r>
                      <w:r w:rsidR="00045767" w:rsidRPr="000871DD">
                        <w:rPr>
                          <w:rFonts w:ascii="Gellix" w:hAnsi="Gellix"/>
                          <w:sz w:val="21"/>
                          <w:szCs w:val="21"/>
                        </w:rPr>
                        <w:t>– thus</w:t>
                      </w:r>
                      <w:r w:rsidRPr="000871DD">
                        <w:rPr>
                          <w:rFonts w:ascii="Gellix" w:hAnsi="Gellix"/>
                          <w:sz w:val="21"/>
                          <w:szCs w:val="21"/>
                        </w:rPr>
                        <w:t xml:space="preserve"> driving up the cost of capital.</w:t>
                      </w:r>
                    </w:p>
                    <w:p w14:paraId="1C824416" w14:textId="46E6677C" w:rsidR="00D17CCE" w:rsidRPr="000871DD" w:rsidRDefault="00D17CCE" w:rsidP="00076A29">
                      <w:pPr>
                        <w:pStyle w:val="ListParagraph"/>
                        <w:numPr>
                          <w:ilvl w:val="0"/>
                          <w:numId w:val="13"/>
                        </w:numPr>
                        <w:spacing w:after="0"/>
                        <w:rPr>
                          <w:rFonts w:ascii="Gellix" w:hAnsi="Gellix"/>
                          <w:sz w:val="21"/>
                          <w:szCs w:val="21"/>
                        </w:rPr>
                      </w:pPr>
                      <w:r w:rsidRPr="000871DD">
                        <w:rPr>
                          <w:rFonts w:ascii="Gellix" w:hAnsi="Gellix"/>
                          <w:b/>
                          <w:bCs/>
                          <w:sz w:val="21"/>
                          <w:szCs w:val="21"/>
                        </w:rPr>
                        <w:t>Targeted clarifications and reforms to the Basel framework could unlock significant volumes of private investment</w:t>
                      </w:r>
                      <w:r w:rsidRPr="000871DD">
                        <w:rPr>
                          <w:rFonts w:ascii="Gellix" w:hAnsi="Gellix"/>
                          <w:sz w:val="21"/>
                          <w:szCs w:val="21"/>
                        </w:rPr>
                        <w:t xml:space="preserve"> in high-impact, climate-aligned EMDE projects</w:t>
                      </w:r>
                      <w:r w:rsidR="00E56089" w:rsidRPr="000871DD">
                        <w:rPr>
                          <w:rFonts w:ascii="Gellix" w:hAnsi="Gellix"/>
                          <w:sz w:val="21"/>
                          <w:szCs w:val="21"/>
                        </w:rPr>
                        <w:t xml:space="preserve"> – </w:t>
                      </w:r>
                      <w:r w:rsidRPr="000871DD">
                        <w:rPr>
                          <w:rFonts w:ascii="Gellix" w:hAnsi="Gellix"/>
                          <w:sz w:val="21"/>
                          <w:szCs w:val="21"/>
                        </w:rPr>
                        <w:t>without compromising financial stability.</w:t>
                      </w:r>
                    </w:p>
                  </w:txbxContent>
                </v:textbox>
                <w10:wrap type="square"/>
              </v:shape>
            </w:pict>
          </mc:Fallback>
        </mc:AlternateContent>
      </w:r>
    </w:p>
    <w:p w14:paraId="7A57689F" w14:textId="1478E687" w:rsidR="00076A29" w:rsidRPr="00AB0B5B" w:rsidRDefault="00076A29" w:rsidP="00076A29">
      <w:pPr>
        <w:spacing w:after="120"/>
        <w:rPr>
          <w:rFonts w:ascii="Gellix" w:hAnsi="Gellix"/>
          <w:b/>
          <w:bCs/>
          <w:sz w:val="22"/>
          <w:szCs w:val="22"/>
        </w:rPr>
      </w:pPr>
      <w:r w:rsidRPr="00AB0B5B">
        <w:rPr>
          <w:rFonts w:ascii="Gellix" w:hAnsi="Gellix"/>
          <w:b/>
          <w:bCs/>
          <w:sz w:val="22"/>
          <w:szCs w:val="22"/>
        </w:rPr>
        <w:t>INTRODUCTION</w:t>
      </w:r>
    </w:p>
    <w:p w14:paraId="36CB1D11" w14:textId="77777777" w:rsidR="00257E0D" w:rsidRDefault="00877B3B" w:rsidP="00DC4D51">
      <w:pPr>
        <w:rPr>
          <w:rFonts w:ascii="Gellix" w:hAnsi="Gellix"/>
          <w:sz w:val="22"/>
          <w:szCs w:val="22"/>
        </w:rPr>
      </w:pPr>
      <w:r w:rsidRPr="00AB0B5B">
        <w:rPr>
          <w:rFonts w:ascii="Gellix" w:hAnsi="Gellix"/>
          <w:sz w:val="22"/>
          <w:szCs w:val="22"/>
        </w:rPr>
        <w:t>Emerging market</w:t>
      </w:r>
      <w:r w:rsidR="00086F74" w:rsidRPr="00AB0B5B">
        <w:rPr>
          <w:rFonts w:ascii="Gellix" w:hAnsi="Gellix"/>
          <w:sz w:val="22"/>
          <w:szCs w:val="22"/>
        </w:rPr>
        <w:t xml:space="preserve"> </w:t>
      </w:r>
      <w:r w:rsidRPr="00AB0B5B">
        <w:rPr>
          <w:rFonts w:ascii="Gellix" w:hAnsi="Gellix"/>
          <w:sz w:val="22"/>
          <w:szCs w:val="22"/>
        </w:rPr>
        <w:t>developing economies (</w:t>
      </w:r>
      <w:r w:rsidR="00BE0F30" w:rsidRPr="00AB0B5B">
        <w:rPr>
          <w:rFonts w:ascii="Gellix" w:hAnsi="Gellix"/>
          <w:sz w:val="22"/>
          <w:szCs w:val="22"/>
        </w:rPr>
        <w:t>“</w:t>
      </w:r>
      <w:r w:rsidRPr="00AB0B5B">
        <w:rPr>
          <w:rFonts w:ascii="Gellix" w:hAnsi="Gellix"/>
          <w:sz w:val="22"/>
          <w:szCs w:val="22"/>
        </w:rPr>
        <w:t>EMDEs</w:t>
      </w:r>
      <w:r w:rsidR="00BE0F30" w:rsidRPr="00AB0B5B">
        <w:rPr>
          <w:rFonts w:ascii="Gellix" w:hAnsi="Gellix"/>
          <w:sz w:val="22"/>
          <w:szCs w:val="22"/>
        </w:rPr>
        <w:t>”</w:t>
      </w:r>
      <w:r w:rsidRPr="00AB0B5B">
        <w:rPr>
          <w:rFonts w:ascii="Gellix" w:hAnsi="Gellix"/>
          <w:sz w:val="22"/>
          <w:szCs w:val="22"/>
        </w:rPr>
        <w:t>) have a critical role to play in achieving global climate goals under the Paris Agreement. Yet, these countries face a persistent shortfall in climate finance, with private capital flows declining over recent years.</w:t>
      </w:r>
    </w:p>
    <w:p w14:paraId="4202E86C" w14:textId="77777777" w:rsidR="001C4DE4" w:rsidRDefault="00257E0D" w:rsidP="0023779B">
      <w:pPr>
        <w:rPr>
          <w:rFonts w:ascii="Gellix" w:hAnsi="Gellix"/>
          <w:sz w:val="22"/>
          <w:szCs w:val="22"/>
        </w:rPr>
      </w:pPr>
      <w:r w:rsidRPr="00775EDF">
        <w:rPr>
          <w:rFonts w:ascii="Gellix" w:hAnsi="Gellix"/>
          <w:sz w:val="22"/>
          <w:szCs w:val="22"/>
        </w:rPr>
        <w:t>In line with the ambition of COP29 and the New Collective Quantified Goal (NCQG), external finance from all sources—including international public, private, and other channels—must contribute approximately $1 trillion annually by 2030, rising to around $1.3 trillion by 2035, to meet total climate investment needs in</w:t>
      </w:r>
      <w:r>
        <w:rPr>
          <w:rFonts w:ascii="Gellix" w:hAnsi="Gellix"/>
          <w:sz w:val="22"/>
          <w:szCs w:val="22"/>
        </w:rPr>
        <w:t xml:space="preserve"> EMDEs</w:t>
      </w:r>
      <w:r w:rsidRPr="00775EDF">
        <w:rPr>
          <w:rFonts w:ascii="Gellix" w:hAnsi="Gellix"/>
          <w:sz w:val="22"/>
          <w:szCs w:val="22"/>
        </w:rPr>
        <w:t>.</w:t>
      </w:r>
      <w:r>
        <w:rPr>
          <w:rStyle w:val="FootnoteReference"/>
          <w:rFonts w:ascii="Gellix" w:hAnsi="Gellix"/>
          <w:sz w:val="22"/>
          <w:szCs w:val="22"/>
        </w:rPr>
        <w:footnoteReference w:id="1"/>
      </w:r>
      <w:r w:rsidR="00877B3B" w:rsidRPr="00AB0B5B">
        <w:rPr>
          <w:rFonts w:ascii="Gellix" w:hAnsi="Gellix"/>
          <w:sz w:val="22"/>
          <w:szCs w:val="22"/>
        </w:rPr>
        <w:t xml:space="preserve"> </w:t>
      </w:r>
    </w:p>
    <w:p w14:paraId="760FC5C1" w14:textId="2C8A0683" w:rsidR="009B5752" w:rsidRPr="00AB0B5B" w:rsidRDefault="00775EDF" w:rsidP="0023779B">
      <w:pPr>
        <w:rPr>
          <w:rFonts w:ascii="Gellix" w:hAnsi="Gellix"/>
          <w:sz w:val="22"/>
          <w:szCs w:val="22"/>
        </w:rPr>
      </w:pPr>
      <w:r w:rsidRPr="00CD6CF8">
        <w:rPr>
          <w:rFonts w:ascii="Gellix" w:hAnsi="Gellix"/>
          <w:sz w:val="22"/>
          <w:szCs w:val="22"/>
        </w:rPr>
        <w:t>Despite accounting for roughly a quarter of global GDP, EMDEs (</w:t>
      </w:r>
      <w:r>
        <w:rPr>
          <w:rFonts w:ascii="Gellix" w:hAnsi="Gellix"/>
          <w:sz w:val="22"/>
          <w:szCs w:val="22"/>
        </w:rPr>
        <w:t>other than</w:t>
      </w:r>
      <w:r w:rsidRPr="00CD6CF8">
        <w:rPr>
          <w:rFonts w:ascii="Gellix" w:hAnsi="Gellix"/>
          <w:sz w:val="22"/>
          <w:szCs w:val="22"/>
        </w:rPr>
        <w:t xml:space="preserve"> China) attract just 14% of global climate finance flows</w:t>
      </w:r>
      <w:r>
        <w:rPr>
          <w:rFonts w:ascii="Gellix" w:hAnsi="Gellix"/>
          <w:sz w:val="22"/>
          <w:szCs w:val="22"/>
        </w:rPr>
        <w:t xml:space="preserve">. </w:t>
      </w:r>
      <w:r w:rsidR="0023779B" w:rsidRPr="00AB0B5B">
        <w:rPr>
          <w:rFonts w:ascii="Gellix" w:hAnsi="Gellix"/>
          <w:sz w:val="22"/>
          <w:szCs w:val="22"/>
        </w:rPr>
        <w:t xml:space="preserve">According to the Independent High-Level Expert Group on Climate Finance, these economies </w:t>
      </w:r>
      <w:r w:rsidR="00A377B5">
        <w:rPr>
          <w:rFonts w:ascii="Gellix" w:hAnsi="Gellix"/>
          <w:sz w:val="22"/>
          <w:szCs w:val="22"/>
        </w:rPr>
        <w:t xml:space="preserve">currently </w:t>
      </w:r>
      <w:r w:rsidR="00714846">
        <w:rPr>
          <w:rFonts w:ascii="Gellix" w:hAnsi="Gellix"/>
          <w:sz w:val="22"/>
          <w:szCs w:val="22"/>
        </w:rPr>
        <w:t xml:space="preserve">receive </w:t>
      </w:r>
      <w:r w:rsidR="00914951" w:rsidRPr="00914951">
        <w:rPr>
          <w:rFonts w:ascii="Gellix" w:hAnsi="Gellix"/>
          <w:sz w:val="22"/>
          <w:szCs w:val="22"/>
        </w:rPr>
        <w:t>only around $30 billion</w:t>
      </w:r>
      <w:r w:rsidR="00A377B5">
        <w:rPr>
          <w:rFonts w:ascii="Gellix" w:hAnsi="Gellix"/>
          <w:sz w:val="22"/>
          <w:szCs w:val="22"/>
        </w:rPr>
        <w:t xml:space="preserve"> of </w:t>
      </w:r>
      <w:r w:rsidR="00A377B5">
        <w:rPr>
          <w:rFonts w:ascii="Gellix" w:hAnsi="Gellix"/>
          <w:sz w:val="22"/>
          <w:szCs w:val="22"/>
        </w:rPr>
        <w:lastRenderedPageBreak/>
        <w:t xml:space="preserve">external private finance and will </w:t>
      </w:r>
      <w:r w:rsidR="0023779B" w:rsidRPr="00AB0B5B">
        <w:rPr>
          <w:rFonts w:ascii="Gellix" w:hAnsi="Gellix"/>
          <w:sz w:val="22"/>
          <w:szCs w:val="22"/>
        </w:rPr>
        <w:t>require an additional $450–550 billion per year in external finance by 2030 to remain on a net-zero trajectory</w:t>
      </w:r>
      <w:r w:rsidR="0058134A">
        <w:rPr>
          <w:rFonts w:ascii="Gellix" w:hAnsi="Gellix"/>
          <w:sz w:val="22"/>
          <w:szCs w:val="22"/>
        </w:rPr>
        <w:t xml:space="preserve">, </w:t>
      </w:r>
      <w:r w:rsidR="0058134A" w:rsidRPr="00FA1F22">
        <w:rPr>
          <w:rFonts w:ascii="Gellix" w:hAnsi="Gellix"/>
          <w:sz w:val="22"/>
          <w:szCs w:val="22"/>
        </w:rPr>
        <w:t>an increase of 15 to 18 times</w:t>
      </w:r>
      <w:r w:rsidR="00E96BF1">
        <w:rPr>
          <w:rStyle w:val="FootnoteReference"/>
          <w:rFonts w:ascii="Gellix" w:hAnsi="Gellix"/>
          <w:sz w:val="22"/>
          <w:szCs w:val="22"/>
        </w:rPr>
        <w:footnoteReference w:id="2"/>
      </w:r>
      <w:r w:rsidR="0023779B" w:rsidRPr="00AB0B5B">
        <w:rPr>
          <w:rFonts w:ascii="Gellix" w:hAnsi="Gellix"/>
          <w:sz w:val="22"/>
          <w:szCs w:val="22"/>
        </w:rPr>
        <w:t>.</w:t>
      </w:r>
      <w:r w:rsidR="00714846">
        <w:rPr>
          <w:rFonts w:ascii="Gellix" w:hAnsi="Gellix"/>
          <w:sz w:val="22"/>
          <w:szCs w:val="22"/>
        </w:rPr>
        <w:t xml:space="preserve"> </w:t>
      </w:r>
      <w:r w:rsidR="0023779B" w:rsidRPr="00AB0B5B">
        <w:rPr>
          <w:rFonts w:ascii="Gellix" w:hAnsi="Gellix"/>
          <w:sz w:val="22"/>
          <w:szCs w:val="22"/>
        </w:rPr>
        <w:t>Mobilizing this scale of investment is essential to global climate outcomes and financial stability alike.</w:t>
      </w:r>
    </w:p>
    <w:p w14:paraId="62511167" w14:textId="5A7F3C64" w:rsidR="00E730BA" w:rsidRPr="00AB0B5B" w:rsidRDefault="00086F74" w:rsidP="0023779B">
      <w:pPr>
        <w:rPr>
          <w:rFonts w:ascii="Gellix" w:hAnsi="Gellix"/>
          <w:sz w:val="22"/>
          <w:szCs w:val="22"/>
        </w:rPr>
      </w:pPr>
      <w:r w:rsidRPr="00AB0B5B">
        <w:rPr>
          <w:rFonts w:ascii="Gellix" w:hAnsi="Gellix"/>
          <w:sz w:val="22"/>
          <w:szCs w:val="22"/>
        </w:rPr>
        <w:t>In this context, p</w:t>
      </w:r>
      <w:r w:rsidR="00877B3B" w:rsidRPr="00AB0B5B">
        <w:rPr>
          <w:rFonts w:ascii="Gellix" w:hAnsi="Gellix"/>
          <w:sz w:val="22"/>
          <w:szCs w:val="22"/>
        </w:rPr>
        <w:t xml:space="preserve">olicymakers have </w:t>
      </w:r>
      <w:r w:rsidR="00461B11" w:rsidRPr="00AB0B5B">
        <w:rPr>
          <w:rFonts w:ascii="Gellix" w:hAnsi="Gellix"/>
          <w:sz w:val="22"/>
          <w:szCs w:val="22"/>
        </w:rPr>
        <w:t xml:space="preserve">repeatedly </w:t>
      </w:r>
      <w:r w:rsidR="00877B3B" w:rsidRPr="00AB0B5B">
        <w:rPr>
          <w:rFonts w:ascii="Gellix" w:hAnsi="Gellix"/>
          <w:sz w:val="22"/>
          <w:szCs w:val="22"/>
        </w:rPr>
        <w:t xml:space="preserve">emphasized the importance of mobilizing </w:t>
      </w:r>
      <w:r w:rsidR="004E3495" w:rsidRPr="00AB0B5B">
        <w:rPr>
          <w:rFonts w:ascii="Gellix" w:hAnsi="Gellix"/>
          <w:sz w:val="22"/>
          <w:szCs w:val="22"/>
        </w:rPr>
        <w:t xml:space="preserve">much higher levels of </w:t>
      </w:r>
      <w:r w:rsidR="00877B3B" w:rsidRPr="00AB0B5B">
        <w:rPr>
          <w:rFonts w:ascii="Gellix" w:hAnsi="Gellix"/>
          <w:sz w:val="22"/>
          <w:szCs w:val="22"/>
        </w:rPr>
        <w:t>private investment in EMDEs</w:t>
      </w:r>
      <w:r w:rsidR="00461B11" w:rsidRPr="00AB0B5B">
        <w:rPr>
          <w:rFonts w:ascii="Gellix" w:hAnsi="Gellix"/>
          <w:sz w:val="22"/>
          <w:szCs w:val="22"/>
        </w:rPr>
        <w:t xml:space="preserve"> – most recently as part of the Baku to Belem Roadmap at COP29. Moreover, m</w:t>
      </w:r>
      <w:r w:rsidR="00877B3B" w:rsidRPr="00AB0B5B">
        <w:rPr>
          <w:rFonts w:ascii="Gellix" w:hAnsi="Gellix"/>
          <w:sz w:val="22"/>
          <w:szCs w:val="22"/>
        </w:rPr>
        <w:t>ultilateral development banks (</w:t>
      </w:r>
      <w:r w:rsidR="00BE0F30" w:rsidRPr="00AB0B5B">
        <w:rPr>
          <w:rFonts w:ascii="Gellix" w:hAnsi="Gellix"/>
          <w:sz w:val="22"/>
          <w:szCs w:val="22"/>
        </w:rPr>
        <w:t>“</w:t>
      </w:r>
      <w:r w:rsidR="00877B3B" w:rsidRPr="00AB0B5B">
        <w:rPr>
          <w:rFonts w:ascii="Gellix" w:hAnsi="Gellix"/>
          <w:sz w:val="22"/>
          <w:szCs w:val="22"/>
        </w:rPr>
        <w:t>MDBs</w:t>
      </w:r>
      <w:r w:rsidR="00BE0F30" w:rsidRPr="00AB0B5B">
        <w:rPr>
          <w:rFonts w:ascii="Gellix" w:hAnsi="Gellix"/>
          <w:sz w:val="22"/>
          <w:szCs w:val="22"/>
        </w:rPr>
        <w:t>”</w:t>
      </w:r>
      <w:r w:rsidR="00877B3B" w:rsidRPr="00AB0B5B">
        <w:rPr>
          <w:rFonts w:ascii="Gellix" w:hAnsi="Gellix"/>
          <w:sz w:val="22"/>
          <w:szCs w:val="22"/>
        </w:rPr>
        <w:t>) and development finance institutions (</w:t>
      </w:r>
      <w:r w:rsidR="00BE0F30" w:rsidRPr="00AB0B5B">
        <w:rPr>
          <w:rFonts w:ascii="Gellix" w:hAnsi="Gellix"/>
          <w:sz w:val="22"/>
          <w:szCs w:val="22"/>
        </w:rPr>
        <w:t>“</w:t>
      </w:r>
      <w:r w:rsidR="00877B3B" w:rsidRPr="00AB0B5B">
        <w:rPr>
          <w:rFonts w:ascii="Gellix" w:hAnsi="Gellix"/>
          <w:sz w:val="22"/>
          <w:szCs w:val="22"/>
        </w:rPr>
        <w:t>DFIs</w:t>
      </w:r>
      <w:r w:rsidR="00BE0F30" w:rsidRPr="00AB0B5B">
        <w:rPr>
          <w:rFonts w:ascii="Gellix" w:hAnsi="Gellix"/>
          <w:sz w:val="22"/>
          <w:szCs w:val="22"/>
        </w:rPr>
        <w:t>”</w:t>
      </w:r>
      <w:r w:rsidR="00877B3B" w:rsidRPr="00AB0B5B">
        <w:rPr>
          <w:rFonts w:ascii="Gellix" w:hAnsi="Gellix"/>
          <w:sz w:val="22"/>
          <w:szCs w:val="22"/>
        </w:rPr>
        <w:t xml:space="preserve">) </w:t>
      </w:r>
      <w:r w:rsidR="00461B11" w:rsidRPr="00AB0B5B">
        <w:rPr>
          <w:rFonts w:ascii="Gellix" w:hAnsi="Gellix"/>
          <w:sz w:val="22"/>
          <w:szCs w:val="22"/>
        </w:rPr>
        <w:t>have introduced a range of enhanced</w:t>
      </w:r>
      <w:r w:rsidR="00877B3B" w:rsidRPr="00AB0B5B">
        <w:rPr>
          <w:rFonts w:ascii="Gellix" w:hAnsi="Gellix"/>
          <w:sz w:val="22"/>
          <w:szCs w:val="22"/>
        </w:rPr>
        <w:t xml:space="preserve"> tools to address </w:t>
      </w:r>
      <w:r w:rsidR="00461B11" w:rsidRPr="00AB0B5B">
        <w:rPr>
          <w:rFonts w:ascii="Gellix" w:hAnsi="Gellix"/>
          <w:sz w:val="22"/>
          <w:szCs w:val="22"/>
        </w:rPr>
        <w:t xml:space="preserve">prevailing </w:t>
      </w:r>
      <w:r w:rsidR="00877B3B" w:rsidRPr="00AB0B5B">
        <w:rPr>
          <w:rFonts w:ascii="Gellix" w:hAnsi="Gellix"/>
          <w:sz w:val="22"/>
          <w:szCs w:val="22"/>
        </w:rPr>
        <w:t xml:space="preserve">market </w:t>
      </w:r>
      <w:r w:rsidR="00461B11" w:rsidRPr="00AB0B5B">
        <w:rPr>
          <w:rFonts w:ascii="Gellix" w:hAnsi="Gellix"/>
          <w:sz w:val="22"/>
          <w:szCs w:val="22"/>
        </w:rPr>
        <w:t>gaps</w:t>
      </w:r>
      <w:r w:rsidR="00877B3B" w:rsidRPr="00AB0B5B">
        <w:rPr>
          <w:rFonts w:ascii="Gellix" w:hAnsi="Gellix"/>
          <w:sz w:val="22"/>
          <w:szCs w:val="22"/>
        </w:rPr>
        <w:t xml:space="preserve">. </w:t>
      </w:r>
    </w:p>
    <w:p w14:paraId="4F41197D" w14:textId="496DABF5" w:rsidR="004E3495" w:rsidRPr="00AB0B5B" w:rsidRDefault="00877B3B" w:rsidP="00DC4D51">
      <w:pPr>
        <w:tabs>
          <w:tab w:val="num" w:pos="720"/>
        </w:tabs>
        <w:rPr>
          <w:rFonts w:ascii="Gellix" w:hAnsi="Gellix"/>
          <w:sz w:val="22"/>
          <w:szCs w:val="22"/>
        </w:rPr>
      </w:pPr>
      <w:r w:rsidRPr="00AB0B5B">
        <w:rPr>
          <w:rFonts w:ascii="Gellix" w:hAnsi="Gellix"/>
          <w:sz w:val="22"/>
          <w:szCs w:val="22"/>
        </w:rPr>
        <w:t xml:space="preserve">However, this </w:t>
      </w:r>
      <w:r w:rsidR="00461B11" w:rsidRPr="00AB0B5B">
        <w:rPr>
          <w:rFonts w:ascii="Gellix" w:hAnsi="Gellix"/>
          <w:sz w:val="22"/>
          <w:szCs w:val="22"/>
        </w:rPr>
        <w:t xml:space="preserve">collective </w:t>
      </w:r>
      <w:r w:rsidRPr="00AB0B5B">
        <w:rPr>
          <w:rFonts w:ascii="Gellix" w:hAnsi="Gellix"/>
          <w:sz w:val="22"/>
          <w:szCs w:val="22"/>
        </w:rPr>
        <w:t xml:space="preserve">effort is hindered by </w:t>
      </w:r>
      <w:r w:rsidR="009D7650">
        <w:rPr>
          <w:rFonts w:ascii="Gellix" w:hAnsi="Gellix"/>
          <w:sz w:val="22"/>
          <w:szCs w:val="22"/>
        </w:rPr>
        <w:t xml:space="preserve">aspects </w:t>
      </w:r>
      <w:r w:rsidRPr="00AB0B5B">
        <w:rPr>
          <w:rFonts w:ascii="Gellix" w:hAnsi="Gellix"/>
          <w:sz w:val="22"/>
          <w:szCs w:val="22"/>
        </w:rPr>
        <w:t xml:space="preserve"> of the Basel </w:t>
      </w:r>
      <w:r w:rsidR="00461B11" w:rsidRPr="00AB0B5B">
        <w:rPr>
          <w:rFonts w:ascii="Gellix" w:hAnsi="Gellix"/>
          <w:sz w:val="22"/>
          <w:szCs w:val="22"/>
        </w:rPr>
        <w:t xml:space="preserve">III </w:t>
      </w:r>
      <w:r w:rsidRPr="00AB0B5B">
        <w:rPr>
          <w:rFonts w:ascii="Gellix" w:hAnsi="Gellix"/>
          <w:sz w:val="22"/>
          <w:szCs w:val="22"/>
        </w:rPr>
        <w:t xml:space="preserve">prudential framework that unintentionally deter bank lending to </w:t>
      </w:r>
      <w:r w:rsidR="00461B11" w:rsidRPr="00AB0B5B">
        <w:rPr>
          <w:rFonts w:ascii="Gellix" w:hAnsi="Gellix"/>
          <w:sz w:val="22"/>
          <w:szCs w:val="22"/>
        </w:rPr>
        <w:t>EMDEs</w:t>
      </w:r>
      <w:r w:rsidR="00620D66" w:rsidRPr="00AB0B5B">
        <w:rPr>
          <w:rFonts w:ascii="Gellix" w:hAnsi="Gellix"/>
          <w:sz w:val="22"/>
          <w:szCs w:val="22"/>
        </w:rPr>
        <w:t>.</w:t>
      </w:r>
      <w:r w:rsidR="00461B11" w:rsidRPr="00AB0B5B">
        <w:rPr>
          <w:rFonts w:ascii="Gellix" w:hAnsi="Gellix"/>
          <w:sz w:val="22"/>
          <w:szCs w:val="22"/>
        </w:rPr>
        <w:t xml:space="preserve"> Banks within the ICC network report severe difficulties in meeting capital efficiency thresholds for projects in EMDEs</w:t>
      </w:r>
      <w:r w:rsidR="004E3495" w:rsidRPr="00AB0B5B">
        <w:rPr>
          <w:rFonts w:ascii="Gellix" w:hAnsi="Gellix"/>
          <w:sz w:val="22"/>
          <w:szCs w:val="22"/>
        </w:rPr>
        <w:t xml:space="preserve"> – while some have exited or actively avoid </w:t>
      </w:r>
      <w:r w:rsidR="00620D66" w:rsidRPr="00AB0B5B">
        <w:rPr>
          <w:rFonts w:ascii="Gellix" w:hAnsi="Gellix"/>
          <w:sz w:val="22"/>
          <w:szCs w:val="22"/>
        </w:rPr>
        <w:t>emerging markets</w:t>
      </w:r>
      <w:r w:rsidR="004E3495" w:rsidRPr="00AB0B5B">
        <w:rPr>
          <w:rFonts w:ascii="Gellix" w:hAnsi="Gellix"/>
          <w:sz w:val="22"/>
          <w:szCs w:val="22"/>
        </w:rPr>
        <w:t xml:space="preserve"> entirely. </w:t>
      </w:r>
      <w:r w:rsidR="00620D66" w:rsidRPr="00AB0B5B">
        <w:rPr>
          <w:rFonts w:ascii="Gellix" w:hAnsi="Gellix"/>
          <w:sz w:val="22"/>
          <w:szCs w:val="22"/>
        </w:rPr>
        <w:t>Others report passing on additional risk costs to EMDE borrowers – in effect negating the intended</w:t>
      </w:r>
      <w:r w:rsidR="003B247F" w:rsidRPr="00AB0B5B">
        <w:rPr>
          <w:rFonts w:ascii="Gellix" w:hAnsi="Gellix"/>
          <w:sz w:val="22"/>
          <w:szCs w:val="22"/>
        </w:rPr>
        <w:t xml:space="preserve"> pricing</w:t>
      </w:r>
      <w:r w:rsidR="00620D66" w:rsidRPr="00AB0B5B">
        <w:rPr>
          <w:rFonts w:ascii="Gellix" w:hAnsi="Gellix"/>
          <w:sz w:val="22"/>
          <w:szCs w:val="22"/>
        </w:rPr>
        <w:t xml:space="preserve"> impact of concessional finance.  </w:t>
      </w:r>
      <w:r w:rsidR="004E3495" w:rsidRPr="00AB0B5B">
        <w:rPr>
          <w:rFonts w:ascii="Gellix" w:hAnsi="Gellix"/>
          <w:sz w:val="22"/>
          <w:szCs w:val="22"/>
        </w:rPr>
        <w:t xml:space="preserve"> </w:t>
      </w:r>
    </w:p>
    <w:p w14:paraId="7DF5949D" w14:textId="5FB34BF9" w:rsidR="006A036B" w:rsidRPr="00AB0B5B" w:rsidRDefault="00877B3B" w:rsidP="00CB6612">
      <w:pPr>
        <w:tabs>
          <w:tab w:val="num" w:pos="720"/>
        </w:tabs>
        <w:spacing w:after="240"/>
        <w:rPr>
          <w:rFonts w:ascii="Gellix" w:hAnsi="Gellix"/>
          <w:sz w:val="22"/>
          <w:szCs w:val="22"/>
        </w:rPr>
      </w:pPr>
      <w:r w:rsidRPr="00AB0B5B">
        <w:rPr>
          <w:rFonts w:ascii="Gellix" w:hAnsi="Gellix"/>
          <w:sz w:val="22"/>
          <w:szCs w:val="22"/>
        </w:rPr>
        <w:t>This note summarizes key barriers within the prudential framework and outlines recommended actions to align capital regulation with climate and development goals while maintaining financial stability.</w:t>
      </w:r>
    </w:p>
    <w:p w14:paraId="2B66EC16" w14:textId="09AA42DD" w:rsidR="008239B4" w:rsidRPr="00AB0B5B" w:rsidRDefault="00E730BA" w:rsidP="00DC4D51">
      <w:pPr>
        <w:tabs>
          <w:tab w:val="num" w:pos="720"/>
        </w:tabs>
        <w:rPr>
          <w:rFonts w:ascii="Gellix" w:hAnsi="Gellix"/>
          <w:b/>
          <w:bCs/>
          <w:sz w:val="22"/>
          <w:szCs w:val="22"/>
        </w:rPr>
      </w:pPr>
      <w:r w:rsidRPr="00AB0B5B">
        <w:rPr>
          <w:rFonts w:ascii="Gellix" w:hAnsi="Gellix"/>
          <w:b/>
          <w:bCs/>
          <w:sz w:val="22"/>
          <w:szCs w:val="22"/>
        </w:rPr>
        <w:t>BARRIERS TO EMDE CLIMATE FINANCE</w:t>
      </w:r>
    </w:p>
    <w:p w14:paraId="02B94336" w14:textId="514900F4" w:rsidR="00877B3B" w:rsidRPr="00AB0B5B" w:rsidRDefault="00F64249" w:rsidP="00016622">
      <w:pPr>
        <w:spacing w:after="120"/>
        <w:rPr>
          <w:rFonts w:ascii="Gellix" w:hAnsi="Gellix"/>
          <w:sz w:val="22"/>
          <w:szCs w:val="22"/>
        </w:rPr>
      </w:pPr>
      <w:r w:rsidRPr="00AB0B5B">
        <w:rPr>
          <w:rFonts w:ascii="Gellix" w:hAnsi="Gellix"/>
          <w:b/>
          <w:bCs/>
          <w:sz w:val="22"/>
          <w:szCs w:val="22"/>
        </w:rPr>
        <w:t>Insufficient r</w:t>
      </w:r>
      <w:r w:rsidR="00CB6612" w:rsidRPr="00AB0B5B">
        <w:rPr>
          <w:rFonts w:ascii="Gellix" w:hAnsi="Gellix"/>
          <w:b/>
          <w:bCs/>
          <w:sz w:val="22"/>
          <w:szCs w:val="22"/>
        </w:rPr>
        <w:t xml:space="preserve">ecognition of </w:t>
      </w:r>
      <w:r w:rsidR="005B53F3" w:rsidRPr="00AB0B5B">
        <w:rPr>
          <w:rFonts w:ascii="Gellix" w:hAnsi="Gellix"/>
          <w:b/>
          <w:bCs/>
          <w:sz w:val="22"/>
          <w:szCs w:val="22"/>
        </w:rPr>
        <w:t xml:space="preserve">public </w:t>
      </w:r>
      <w:r w:rsidR="00CB6612" w:rsidRPr="00AB0B5B">
        <w:rPr>
          <w:rFonts w:ascii="Gellix" w:hAnsi="Gellix"/>
          <w:b/>
          <w:bCs/>
          <w:sz w:val="22"/>
          <w:szCs w:val="22"/>
        </w:rPr>
        <w:t>r</w:t>
      </w:r>
      <w:r w:rsidR="00877B3B" w:rsidRPr="00AB0B5B">
        <w:rPr>
          <w:rFonts w:ascii="Gellix" w:hAnsi="Gellix"/>
          <w:b/>
          <w:bCs/>
          <w:sz w:val="22"/>
          <w:szCs w:val="22"/>
        </w:rPr>
        <w:t xml:space="preserve">isk </w:t>
      </w:r>
      <w:r w:rsidR="00CB6612" w:rsidRPr="00AB0B5B">
        <w:rPr>
          <w:rFonts w:ascii="Gellix" w:hAnsi="Gellix"/>
          <w:b/>
          <w:bCs/>
          <w:sz w:val="22"/>
          <w:szCs w:val="22"/>
        </w:rPr>
        <w:t>m</w:t>
      </w:r>
      <w:r w:rsidR="00877B3B" w:rsidRPr="00AB0B5B">
        <w:rPr>
          <w:rFonts w:ascii="Gellix" w:hAnsi="Gellix"/>
          <w:b/>
          <w:bCs/>
          <w:sz w:val="22"/>
          <w:szCs w:val="22"/>
        </w:rPr>
        <w:t xml:space="preserve">itigation </w:t>
      </w:r>
      <w:r w:rsidR="00CB6612" w:rsidRPr="00AB0B5B">
        <w:rPr>
          <w:rFonts w:ascii="Gellix" w:hAnsi="Gellix"/>
          <w:b/>
          <w:bCs/>
          <w:sz w:val="22"/>
          <w:szCs w:val="22"/>
        </w:rPr>
        <w:t>t</w:t>
      </w:r>
      <w:r w:rsidR="00877B3B" w:rsidRPr="00AB0B5B">
        <w:rPr>
          <w:rFonts w:ascii="Gellix" w:hAnsi="Gellix"/>
          <w:b/>
          <w:bCs/>
          <w:sz w:val="22"/>
          <w:szCs w:val="22"/>
        </w:rPr>
        <w:t>ools</w:t>
      </w:r>
    </w:p>
    <w:p w14:paraId="18542757" w14:textId="420F70C7" w:rsidR="00877B3B" w:rsidRPr="00AB0B5B" w:rsidRDefault="00877B3B" w:rsidP="00DC4D51">
      <w:pPr>
        <w:rPr>
          <w:rFonts w:ascii="Gellix" w:hAnsi="Gellix"/>
          <w:sz w:val="22"/>
          <w:szCs w:val="22"/>
        </w:rPr>
      </w:pPr>
      <w:r w:rsidRPr="00AB0B5B">
        <w:rPr>
          <w:rFonts w:ascii="Gellix" w:hAnsi="Gellix"/>
          <w:sz w:val="22"/>
          <w:szCs w:val="22"/>
        </w:rPr>
        <w:t>MDBs and DFIs play a vital role in reducing the risk profile of EMDE investments through credit guarantees</w:t>
      </w:r>
      <w:r w:rsidR="00620D66" w:rsidRPr="00AB0B5B">
        <w:rPr>
          <w:rFonts w:ascii="Gellix" w:hAnsi="Gellix"/>
          <w:sz w:val="22"/>
          <w:szCs w:val="22"/>
        </w:rPr>
        <w:t xml:space="preserve"> </w:t>
      </w:r>
      <w:r w:rsidRPr="00AB0B5B">
        <w:rPr>
          <w:rFonts w:ascii="Gellix" w:hAnsi="Gellix"/>
          <w:sz w:val="22"/>
          <w:szCs w:val="22"/>
        </w:rPr>
        <w:t xml:space="preserve">and co-lending structures. While the Basel framework permits the use of </w:t>
      </w:r>
      <w:r w:rsidR="00622020" w:rsidRPr="00AB0B5B">
        <w:rPr>
          <w:rFonts w:ascii="Gellix" w:hAnsi="Gellix"/>
          <w:sz w:val="22"/>
          <w:szCs w:val="22"/>
        </w:rPr>
        <w:t xml:space="preserve">MDB/DFI </w:t>
      </w:r>
      <w:r w:rsidRPr="00AB0B5B">
        <w:rPr>
          <w:rFonts w:ascii="Gellix" w:hAnsi="Gellix"/>
          <w:sz w:val="22"/>
          <w:szCs w:val="22"/>
        </w:rPr>
        <w:t>guarantees for capital relief, strict operational requirements limit their applicability:</w:t>
      </w:r>
    </w:p>
    <w:p w14:paraId="6F75FB56" w14:textId="1E1F972A" w:rsidR="00877B3B" w:rsidRPr="00AB0B5B" w:rsidRDefault="00877B3B" w:rsidP="00DC4D51">
      <w:pPr>
        <w:numPr>
          <w:ilvl w:val="0"/>
          <w:numId w:val="1"/>
        </w:numPr>
        <w:rPr>
          <w:rFonts w:ascii="Gellix" w:hAnsi="Gellix"/>
          <w:sz w:val="22"/>
          <w:szCs w:val="22"/>
        </w:rPr>
      </w:pPr>
      <w:r w:rsidRPr="00AB0B5B">
        <w:rPr>
          <w:rFonts w:ascii="Gellix" w:hAnsi="Gellix"/>
          <w:b/>
          <w:bCs/>
          <w:sz w:val="22"/>
          <w:szCs w:val="22"/>
        </w:rPr>
        <w:t xml:space="preserve">Unconditionality </w:t>
      </w:r>
      <w:r w:rsidR="00AB773F" w:rsidRPr="00AB0B5B">
        <w:rPr>
          <w:rFonts w:ascii="Gellix" w:hAnsi="Gellix"/>
          <w:b/>
          <w:bCs/>
          <w:sz w:val="22"/>
          <w:szCs w:val="22"/>
        </w:rPr>
        <w:t>requirements</w:t>
      </w:r>
      <w:r w:rsidRPr="00AB0B5B">
        <w:rPr>
          <w:rFonts w:ascii="Gellix" w:hAnsi="Gellix"/>
          <w:sz w:val="22"/>
          <w:szCs w:val="22"/>
        </w:rPr>
        <w:t xml:space="preserve">: </w:t>
      </w:r>
      <w:r w:rsidR="004471FD" w:rsidRPr="00AB0B5B">
        <w:rPr>
          <w:rFonts w:ascii="Gellix" w:hAnsi="Gellix"/>
          <w:sz w:val="22"/>
          <w:szCs w:val="22"/>
        </w:rPr>
        <w:t>g</w:t>
      </w:r>
      <w:r w:rsidRPr="00AB0B5B">
        <w:rPr>
          <w:rFonts w:ascii="Gellix" w:hAnsi="Gellix"/>
          <w:sz w:val="22"/>
          <w:szCs w:val="22"/>
        </w:rPr>
        <w:t>uarantees must be unconditional, yet widely used MDB products, such as MIGA's non-</w:t>
      </w:r>
      <w:r w:rsidR="00FF5069" w:rsidRPr="00AB0B5B">
        <w:rPr>
          <w:rFonts w:ascii="Gellix" w:hAnsi="Gellix"/>
          <w:sz w:val="22"/>
          <w:szCs w:val="22"/>
        </w:rPr>
        <w:t>honoring</w:t>
      </w:r>
      <w:r w:rsidRPr="00AB0B5B">
        <w:rPr>
          <w:rFonts w:ascii="Gellix" w:hAnsi="Gellix"/>
          <w:sz w:val="22"/>
          <w:szCs w:val="22"/>
        </w:rPr>
        <w:t xml:space="preserve"> guarantees, include standard </w:t>
      </w:r>
      <w:r w:rsidR="003B247F" w:rsidRPr="00AB0B5B">
        <w:rPr>
          <w:rFonts w:ascii="Gellix" w:hAnsi="Gellix"/>
          <w:sz w:val="22"/>
          <w:szCs w:val="22"/>
        </w:rPr>
        <w:t xml:space="preserve">(but rarely used) </w:t>
      </w:r>
      <w:r w:rsidRPr="00AB0B5B">
        <w:rPr>
          <w:rFonts w:ascii="Gellix" w:hAnsi="Gellix"/>
          <w:sz w:val="22"/>
          <w:szCs w:val="22"/>
        </w:rPr>
        <w:t xml:space="preserve">exclusions that render them ineligible </w:t>
      </w:r>
      <w:r w:rsidR="00620D66" w:rsidRPr="00AB0B5B">
        <w:rPr>
          <w:rFonts w:ascii="Gellix" w:hAnsi="Gellix"/>
          <w:sz w:val="22"/>
          <w:szCs w:val="22"/>
        </w:rPr>
        <w:t xml:space="preserve">for capital relief purposes. </w:t>
      </w:r>
    </w:p>
    <w:p w14:paraId="3FC4932B" w14:textId="67C40D38" w:rsidR="00DB1177" w:rsidRPr="00AB0B5B" w:rsidRDefault="004471FD" w:rsidP="00984EA9">
      <w:pPr>
        <w:numPr>
          <w:ilvl w:val="0"/>
          <w:numId w:val="1"/>
        </w:numPr>
        <w:rPr>
          <w:rFonts w:ascii="Gellix" w:hAnsi="Gellix"/>
          <w:sz w:val="22"/>
          <w:szCs w:val="22"/>
        </w:rPr>
      </w:pPr>
      <w:r w:rsidRPr="00AB0B5B">
        <w:rPr>
          <w:rFonts w:ascii="Gellix" w:hAnsi="Gellix"/>
          <w:b/>
          <w:bCs/>
          <w:sz w:val="22"/>
          <w:szCs w:val="22"/>
        </w:rPr>
        <w:lastRenderedPageBreak/>
        <w:t xml:space="preserve">Timeliness requirements: </w:t>
      </w:r>
      <w:r w:rsidRPr="00AB0B5B">
        <w:rPr>
          <w:rFonts w:ascii="Gellix" w:hAnsi="Gellix"/>
          <w:sz w:val="22"/>
          <w:szCs w:val="22"/>
        </w:rPr>
        <w:t xml:space="preserve">key instruments like political risk insurance (“PRI”) or breach of contract protections </w:t>
      </w:r>
      <w:r w:rsidR="00DB1177" w:rsidRPr="00AB0B5B">
        <w:rPr>
          <w:rFonts w:ascii="Gellix" w:hAnsi="Gellix"/>
          <w:sz w:val="22"/>
          <w:szCs w:val="22"/>
        </w:rPr>
        <w:t xml:space="preserve">must pay out promptly after a default to qualify for capital relief, but </w:t>
      </w:r>
      <w:r w:rsidR="00E04016" w:rsidRPr="00AB0B5B">
        <w:rPr>
          <w:rFonts w:ascii="Gellix" w:hAnsi="Gellix"/>
          <w:sz w:val="22"/>
          <w:szCs w:val="22"/>
        </w:rPr>
        <w:t>most instruments used in EMDEs involve processes (e.g. arbitration) tha</w:t>
      </w:r>
      <w:r w:rsidR="005A394A" w:rsidRPr="00AB0B5B">
        <w:rPr>
          <w:rFonts w:ascii="Gellix" w:hAnsi="Gellix"/>
          <w:sz w:val="22"/>
          <w:szCs w:val="22"/>
        </w:rPr>
        <w:t>t</w:t>
      </w:r>
      <w:r w:rsidR="00E04016" w:rsidRPr="00AB0B5B">
        <w:rPr>
          <w:rFonts w:ascii="Gellix" w:hAnsi="Gellix"/>
          <w:sz w:val="22"/>
          <w:szCs w:val="22"/>
        </w:rPr>
        <w:t xml:space="preserve"> render them </w:t>
      </w:r>
      <w:r w:rsidR="00984EA9" w:rsidRPr="00AB0B5B">
        <w:rPr>
          <w:rFonts w:ascii="Gellix" w:hAnsi="Gellix"/>
          <w:sz w:val="22"/>
          <w:szCs w:val="22"/>
        </w:rPr>
        <w:t xml:space="preserve">ineligible – even </w:t>
      </w:r>
      <w:r w:rsidR="00DB1177" w:rsidRPr="00AB0B5B">
        <w:rPr>
          <w:rFonts w:ascii="Gellix" w:hAnsi="Gellix"/>
          <w:sz w:val="22"/>
          <w:szCs w:val="22"/>
        </w:rPr>
        <w:t xml:space="preserve">if they effectively reduce </w:t>
      </w:r>
      <w:r w:rsidR="00984EA9" w:rsidRPr="00AB0B5B">
        <w:rPr>
          <w:rFonts w:ascii="Gellix" w:hAnsi="Gellix"/>
          <w:sz w:val="22"/>
          <w:szCs w:val="22"/>
        </w:rPr>
        <w:t xml:space="preserve">credit </w:t>
      </w:r>
      <w:r w:rsidR="00DB1177" w:rsidRPr="00AB0B5B">
        <w:rPr>
          <w:rFonts w:ascii="Gellix" w:hAnsi="Gellix"/>
          <w:sz w:val="22"/>
          <w:szCs w:val="22"/>
        </w:rPr>
        <w:t>risk.</w:t>
      </w:r>
    </w:p>
    <w:p w14:paraId="1C381512" w14:textId="60ACB45E" w:rsidR="00877B3B" w:rsidRPr="00AB0B5B" w:rsidRDefault="00831294" w:rsidP="00DC4D51">
      <w:pPr>
        <w:numPr>
          <w:ilvl w:val="0"/>
          <w:numId w:val="1"/>
        </w:numPr>
        <w:rPr>
          <w:rFonts w:ascii="Gellix" w:hAnsi="Gellix"/>
          <w:sz w:val="22"/>
          <w:szCs w:val="22"/>
        </w:rPr>
      </w:pPr>
      <w:r w:rsidRPr="00AB0B5B">
        <w:rPr>
          <w:rFonts w:ascii="Gellix" w:hAnsi="Gellix"/>
          <w:b/>
          <w:bCs/>
          <w:sz w:val="22"/>
          <w:szCs w:val="22"/>
        </w:rPr>
        <w:t>Treatment</w:t>
      </w:r>
      <w:r w:rsidR="004304F8" w:rsidRPr="00AB0B5B">
        <w:rPr>
          <w:rFonts w:ascii="Gellix" w:hAnsi="Gellix"/>
          <w:b/>
          <w:bCs/>
          <w:sz w:val="22"/>
          <w:szCs w:val="22"/>
        </w:rPr>
        <w:t xml:space="preserve"> of p</w:t>
      </w:r>
      <w:r w:rsidR="00877B3B" w:rsidRPr="00AB0B5B">
        <w:rPr>
          <w:rFonts w:ascii="Gellix" w:hAnsi="Gellix"/>
          <w:b/>
          <w:bCs/>
          <w:sz w:val="22"/>
          <w:szCs w:val="22"/>
        </w:rPr>
        <w:t xml:space="preserve">artial </w:t>
      </w:r>
      <w:r w:rsidR="004304F8" w:rsidRPr="00AB0B5B">
        <w:rPr>
          <w:rFonts w:ascii="Gellix" w:hAnsi="Gellix"/>
          <w:b/>
          <w:bCs/>
          <w:sz w:val="22"/>
          <w:szCs w:val="22"/>
        </w:rPr>
        <w:t>r</w:t>
      </w:r>
      <w:r w:rsidR="00877B3B" w:rsidRPr="00AB0B5B">
        <w:rPr>
          <w:rFonts w:ascii="Gellix" w:hAnsi="Gellix"/>
          <w:b/>
          <w:bCs/>
          <w:sz w:val="22"/>
          <w:szCs w:val="22"/>
        </w:rPr>
        <w:t xml:space="preserve">isk </w:t>
      </w:r>
      <w:r w:rsidR="004304F8" w:rsidRPr="00AB0B5B">
        <w:rPr>
          <w:rFonts w:ascii="Gellix" w:hAnsi="Gellix"/>
          <w:b/>
          <w:bCs/>
          <w:sz w:val="22"/>
          <w:szCs w:val="22"/>
        </w:rPr>
        <w:t>i</w:t>
      </w:r>
      <w:r w:rsidR="00877B3B" w:rsidRPr="00AB0B5B">
        <w:rPr>
          <w:rFonts w:ascii="Gellix" w:hAnsi="Gellix"/>
          <w:b/>
          <w:bCs/>
          <w:sz w:val="22"/>
          <w:szCs w:val="22"/>
        </w:rPr>
        <w:t>nsurance</w:t>
      </w:r>
      <w:r w:rsidR="00877B3B" w:rsidRPr="00AB0B5B">
        <w:rPr>
          <w:rFonts w:ascii="Gellix" w:hAnsi="Gellix"/>
          <w:sz w:val="22"/>
          <w:szCs w:val="22"/>
        </w:rPr>
        <w:t xml:space="preserve">: </w:t>
      </w:r>
      <w:r w:rsidR="00C53D71" w:rsidRPr="00AB0B5B">
        <w:rPr>
          <w:rFonts w:ascii="Gellix" w:hAnsi="Gellix"/>
          <w:sz w:val="22"/>
          <w:szCs w:val="22"/>
        </w:rPr>
        <w:t xml:space="preserve">Basel III grants capital relief only for the guaranteed portion of a loan, creating a cliff edge where even a 49% guarantee offers no more benefit than a much smaller one. This </w:t>
      </w:r>
      <w:r w:rsidRPr="00AB0B5B">
        <w:rPr>
          <w:rFonts w:ascii="Gellix" w:hAnsi="Gellix"/>
          <w:sz w:val="22"/>
          <w:szCs w:val="22"/>
        </w:rPr>
        <w:t xml:space="preserve">severely </w:t>
      </w:r>
      <w:r w:rsidR="00C53D71" w:rsidRPr="00AB0B5B">
        <w:rPr>
          <w:rFonts w:ascii="Gellix" w:hAnsi="Gellix"/>
          <w:sz w:val="22"/>
          <w:szCs w:val="22"/>
        </w:rPr>
        <w:t>limits the usefulness of partial guarantees commonly used in EMDEs to share risk and support lending.</w:t>
      </w:r>
    </w:p>
    <w:p w14:paraId="3023CBF1" w14:textId="671E25C1" w:rsidR="00BE0F30" w:rsidRPr="00AB0B5B" w:rsidRDefault="00FB34D8" w:rsidP="00DC4D51">
      <w:pPr>
        <w:numPr>
          <w:ilvl w:val="0"/>
          <w:numId w:val="1"/>
        </w:numPr>
        <w:rPr>
          <w:rFonts w:ascii="Gellix" w:hAnsi="Gellix"/>
          <w:sz w:val="22"/>
          <w:szCs w:val="22"/>
        </w:rPr>
      </w:pPr>
      <w:r w:rsidRPr="00AB0B5B">
        <w:rPr>
          <w:rFonts w:ascii="Gellix" w:hAnsi="Gellix"/>
          <w:b/>
          <w:bCs/>
          <w:sz w:val="22"/>
          <w:szCs w:val="22"/>
        </w:rPr>
        <w:t>Incomplete</w:t>
      </w:r>
      <w:r w:rsidR="00BE0F30" w:rsidRPr="00AB0B5B">
        <w:rPr>
          <w:rFonts w:ascii="Gellix" w:hAnsi="Gellix"/>
          <w:b/>
          <w:bCs/>
          <w:sz w:val="22"/>
          <w:szCs w:val="22"/>
        </w:rPr>
        <w:t xml:space="preserve"> recognition of MDBs: </w:t>
      </w:r>
      <w:r w:rsidR="006D527D" w:rsidRPr="00AB0B5B">
        <w:rPr>
          <w:rFonts w:ascii="Gellix" w:hAnsi="Gellix"/>
          <w:sz w:val="22"/>
          <w:szCs w:val="22"/>
        </w:rPr>
        <w:t xml:space="preserve">the </w:t>
      </w:r>
      <w:r w:rsidR="00BE0F30" w:rsidRPr="00AB0B5B">
        <w:rPr>
          <w:rFonts w:ascii="Gellix" w:hAnsi="Gellix"/>
          <w:sz w:val="22"/>
          <w:szCs w:val="22"/>
        </w:rPr>
        <w:t>Basel framework list of MDBs eligible for favo</w:t>
      </w:r>
      <w:r w:rsidR="00AB0B5B" w:rsidRPr="00AB0B5B">
        <w:rPr>
          <w:rFonts w:ascii="Gellix" w:hAnsi="Gellix"/>
          <w:sz w:val="22"/>
          <w:szCs w:val="22"/>
        </w:rPr>
        <w:t>rable</w:t>
      </w:r>
      <w:r w:rsidR="00BE0F30" w:rsidRPr="00AB0B5B">
        <w:rPr>
          <w:rFonts w:ascii="Gellix" w:hAnsi="Gellix"/>
          <w:sz w:val="22"/>
          <w:szCs w:val="22"/>
        </w:rPr>
        <w:t xml:space="preserve"> risk weights is static and excludes newer institutions with strong credit ratings and mandates aligned with climate finance.</w:t>
      </w:r>
      <w:r w:rsidR="00BE0F30" w:rsidRPr="00AB0B5B">
        <w:rPr>
          <w:rStyle w:val="FootnoteReference"/>
          <w:rFonts w:ascii="Gellix" w:hAnsi="Gellix"/>
          <w:sz w:val="22"/>
          <w:szCs w:val="22"/>
        </w:rPr>
        <w:footnoteReference w:id="3"/>
      </w:r>
    </w:p>
    <w:p w14:paraId="18E781E7" w14:textId="217F17CB" w:rsidR="00A5290A" w:rsidRPr="00AB0B5B" w:rsidRDefault="00A5290A" w:rsidP="00A5290A">
      <w:pPr>
        <w:numPr>
          <w:ilvl w:val="0"/>
          <w:numId w:val="1"/>
        </w:numPr>
        <w:rPr>
          <w:rFonts w:ascii="Gellix" w:hAnsi="Gellix"/>
          <w:sz w:val="22"/>
          <w:szCs w:val="22"/>
        </w:rPr>
      </w:pPr>
      <w:r w:rsidRPr="00AB0B5B">
        <w:rPr>
          <w:rFonts w:ascii="Gellix" w:hAnsi="Gellix"/>
          <w:b/>
          <w:bCs/>
          <w:sz w:val="22"/>
          <w:szCs w:val="22"/>
        </w:rPr>
        <w:t>Treatment of blended finance structures</w:t>
      </w:r>
      <w:r w:rsidRPr="00AB0B5B">
        <w:rPr>
          <w:rFonts w:ascii="Gellix" w:hAnsi="Gellix"/>
          <w:sz w:val="22"/>
          <w:szCs w:val="22"/>
        </w:rPr>
        <w:t>: current rules do not recognize the risk-reducing benefits of blended finance structures, preventing banks from receiving capital relief even when public or concessional partners absorb first-loss risk.</w:t>
      </w:r>
    </w:p>
    <w:p w14:paraId="2E8D0CB6" w14:textId="55B80D2A" w:rsidR="00877B3B" w:rsidRPr="00AB0B5B" w:rsidRDefault="00FE608D" w:rsidP="00DC4D51">
      <w:pPr>
        <w:rPr>
          <w:rFonts w:ascii="Gellix" w:hAnsi="Gellix"/>
          <w:sz w:val="22"/>
          <w:szCs w:val="22"/>
        </w:rPr>
      </w:pPr>
      <w:r w:rsidRPr="00AB0B5B">
        <w:rPr>
          <w:rFonts w:ascii="Gellix" w:hAnsi="Gellix"/>
          <w:sz w:val="22"/>
          <w:szCs w:val="22"/>
        </w:rPr>
        <w:t>Moreover, a</w:t>
      </w:r>
      <w:r w:rsidR="00BE0F30" w:rsidRPr="00AB0B5B">
        <w:rPr>
          <w:rFonts w:ascii="Gellix" w:hAnsi="Gellix"/>
          <w:sz w:val="22"/>
          <w:szCs w:val="22"/>
        </w:rPr>
        <w:t>lthough</w:t>
      </w:r>
      <w:r w:rsidR="00622020" w:rsidRPr="00AB0B5B">
        <w:rPr>
          <w:rFonts w:ascii="Gellix" w:hAnsi="Gellix"/>
          <w:sz w:val="22"/>
          <w:szCs w:val="22"/>
        </w:rPr>
        <w:t xml:space="preserve"> the Basel </w:t>
      </w:r>
      <w:r w:rsidR="00BE0F30" w:rsidRPr="00AB0B5B">
        <w:rPr>
          <w:rFonts w:ascii="Gellix" w:hAnsi="Gellix"/>
          <w:sz w:val="22"/>
          <w:szCs w:val="22"/>
        </w:rPr>
        <w:t>f</w:t>
      </w:r>
      <w:r w:rsidR="00622020" w:rsidRPr="00AB0B5B">
        <w:rPr>
          <w:rFonts w:ascii="Gellix" w:hAnsi="Gellix"/>
          <w:sz w:val="22"/>
          <w:szCs w:val="22"/>
        </w:rPr>
        <w:t xml:space="preserve">ramework permits credit mitigation from private insurers, </w:t>
      </w:r>
      <w:r w:rsidR="00BE0F30" w:rsidRPr="00AB0B5B">
        <w:rPr>
          <w:rFonts w:ascii="Gellix" w:hAnsi="Gellix"/>
          <w:sz w:val="22"/>
          <w:szCs w:val="22"/>
        </w:rPr>
        <w:t>in practice most private PRI does not qualify for capital relief because of structural and legal conditions in standard commercial contracts.</w:t>
      </w:r>
      <w:r w:rsidR="00622020" w:rsidRPr="00AB0B5B">
        <w:rPr>
          <w:rFonts w:ascii="Gellix" w:hAnsi="Gellix"/>
          <w:sz w:val="22"/>
          <w:szCs w:val="22"/>
        </w:rPr>
        <w:t xml:space="preserve"> As a result, banks cannot obtain capital relief for exposures backed by </w:t>
      </w:r>
      <w:r w:rsidR="00B06AF5" w:rsidRPr="00AB0B5B">
        <w:rPr>
          <w:rFonts w:ascii="Gellix" w:hAnsi="Gellix"/>
          <w:sz w:val="22"/>
          <w:szCs w:val="22"/>
        </w:rPr>
        <w:t xml:space="preserve">established </w:t>
      </w:r>
      <w:r w:rsidR="00622020" w:rsidRPr="00AB0B5B">
        <w:rPr>
          <w:rFonts w:ascii="Gellix" w:hAnsi="Gellix"/>
          <w:sz w:val="22"/>
          <w:szCs w:val="22"/>
        </w:rPr>
        <w:t>private PRI</w:t>
      </w:r>
      <w:r w:rsidR="00B06AF5" w:rsidRPr="00AB0B5B">
        <w:rPr>
          <w:rFonts w:ascii="Gellix" w:hAnsi="Gellix"/>
          <w:sz w:val="22"/>
          <w:szCs w:val="22"/>
        </w:rPr>
        <w:t xml:space="preserve"> providers</w:t>
      </w:r>
      <w:r w:rsidR="00622020" w:rsidRPr="00AB0B5B">
        <w:rPr>
          <w:rFonts w:ascii="Gellix" w:hAnsi="Gellix"/>
          <w:sz w:val="22"/>
          <w:szCs w:val="22"/>
        </w:rPr>
        <w:t>, even when it significantly reduces credit risk.</w:t>
      </w:r>
    </w:p>
    <w:p w14:paraId="198C74E1" w14:textId="1817F29C" w:rsidR="00877B3B" w:rsidRPr="00AB0B5B" w:rsidRDefault="00374A69" w:rsidP="001D65CE">
      <w:pPr>
        <w:spacing w:after="120"/>
        <w:rPr>
          <w:rFonts w:ascii="Gellix" w:hAnsi="Gellix"/>
          <w:sz w:val="22"/>
          <w:szCs w:val="22"/>
        </w:rPr>
      </w:pPr>
      <w:r w:rsidRPr="00AB0B5B">
        <w:rPr>
          <w:rFonts w:ascii="Gellix" w:hAnsi="Gellix"/>
          <w:b/>
          <w:bCs/>
          <w:sz w:val="22"/>
          <w:szCs w:val="22"/>
        </w:rPr>
        <w:t>Conservative</w:t>
      </w:r>
      <w:r w:rsidR="00F64249" w:rsidRPr="00AB0B5B">
        <w:rPr>
          <w:rFonts w:ascii="Gellix" w:hAnsi="Gellix"/>
          <w:b/>
          <w:bCs/>
          <w:sz w:val="22"/>
          <w:szCs w:val="22"/>
        </w:rPr>
        <w:t xml:space="preserve"> treatment of p</w:t>
      </w:r>
      <w:r w:rsidR="00877B3B" w:rsidRPr="00AB0B5B">
        <w:rPr>
          <w:rFonts w:ascii="Gellix" w:hAnsi="Gellix"/>
          <w:b/>
          <w:bCs/>
          <w:sz w:val="22"/>
          <w:szCs w:val="22"/>
        </w:rPr>
        <w:t xml:space="preserve">roject </w:t>
      </w:r>
      <w:r w:rsidR="00F64249" w:rsidRPr="00AB0B5B">
        <w:rPr>
          <w:rFonts w:ascii="Gellix" w:hAnsi="Gellix"/>
          <w:b/>
          <w:bCs/>
          <w:sz w:val="22"/>
          <w:szCs w:val="22"/>
        </w:rPr>
        <w:t>f</w:t>
      </w:r>
      <w:r w:rsidR="00877B3B" w:rsidRPr="00AB0B5B">
        <w:rPr>
          <w:rFonts w:ascii="Gellix" w:hAnsi="Gellix"/>
          <w:b/>
          <w:bCs/>
          <w:sz w:val="22"/>
          <w:szCs w:val="22"/>
        </w:rPr>
        <w:t>inance</w:t>
      </w:r>
    </w:p>
    <w:p w14:paraId="3C6CAA7D" w14:textId="42BB6025" w:rsidR="00877B3B" w:rsidRPr="00AB0B5B" w:rsidRDefault="00877B3B" w:rsidP="00DC4D51">
      <w:pPr>
        <w:rPr>
          <w:rFonts w:ascii="Gellix" w:hAnsi="Gellix"/>
          <w:sz w:val="22"/>
          <w:szCs w:val="22"/>
        </w:rPr>
      </w:pPr>
      <w:r w:rsidRPr="00AB0B5B">
        <w:rPr>
          <w:rFonts w:ascii="Gellix" w:hAnsi="Gellix"/>
          <w:sz w:val="22"/>
          <w:szCs w:val="22"/>
        </w:rPr>
        <w:t>Project finance is central to climate and infrastructure investment in EMDEs, yet the Basel framework assigns conservative risk weights</w:t>
      </w:r>
      <w:r w:rsidR="00BE0F30" w:rsidRPr="00AB0B5B">
        <w:rPr>
          <w:rFonts w:ascii="Gellix" w:hAnsi="Gellix"/>
          <w:sz w:val="22"/>
          <w:szCs w:val="22"/>
        </w:rPr>
        <w:t xml:space="preserve"> </w:t>
      </w:r>
      <w:r w:rsidR="006D527D" w:rsidRPr="00AB0B5B">
        <w:rPr>
          <w:rFonts w:ascii="Gellix" w:hAnsi="Gellix"/>
          <w:sz w:val="22"/>
          <w:szCs w:val="22"/>
        </w:rPr>
        <w:t>to this form of financing</w:t>
      </w:r>
      <w:r w:rsidRPr="00AB0B5B">
        <w:rPr>
          <w:rFonts w:ascii="Gellix" w:hAnsi="Gellix"/>
          <w:sz w:val="22"/>
          <w:szCs w:val="22"/>
        </w:rPr>
        <w:t>:</w:t>
      </w:r>
    </w:p>
    <w:p w14:paraId="2FD55394" w14:textId="091D1C3A" w:rsidR="00877B3B" w:rsidRPr="00AB0B5B" w:rsidRDefault="00877B3B" w:rsidP="00DC4D51">
      <w:pPr>
        <w:numPr>
          <w:ilvl w:val="0"/>
          <w:numId w:val="2"/>
        </w:numPr>
        <w:rPr>
          <w:rFonts w:ascii="Gellix" w:hAnsi="Gellix"/>
          <w:sz w:val="22"/>
          <w:szCs w:val="22"/>
        </w:rPr>
      </w:pPr>
      <w:r w:rsidRPr="00AB0B5B">
        <w:rPr>
          <w:rFonts w:ascii="Gellix" w:hAnsi="Gellix"/>
          <w:b/>
          <w:bCs/>
          <w:sz w:val="22"/>
          <w:szCs w:val="22"/>
        </w:rPr>
        <w:t xml:space="preserve">Standardized </w:t>
      </w:r>
      <w:r w:rsidR="00146F68" w:rsidRPr="00AB0B5B">
        <w:rPr>
          <w:rFonts w:ascii="Gellix" w:hAnsi="Gellix"/>
          <w:b/>
          <w:bCs/>
          <w:sz w:val="22"/>
          <w:szCs w:val="22"/>
        </w:rPr>
        <w:t>a</w:t>
      </w:r>
      <w:r w:rsidRPr="00AB0B5B">
        <w:rPr>
          <w:rFonts w:ascii="Gellix" w:hAnsi="Gellix"/>
          <w:b/>
          <w:bCs/>
          <w:sz w:val="22"/>
          <w:szCs w:val="22"/>
        </w:rPr>
        <w:t>pproach</w:t>
      </w:r>
      <w:r w:rsidRPr="00AB0B5B">
        <w:rPr>
          <w:rFonts w:ascii="Gellix" w:hAnsi="Gellix"/>
          <w:sz w:val="22"/>
          <w:szCs w:val="22"/>
        </w:rPr>
        <w:t>: Risk weights for project finance are set at 130% in pre-operational phases and 100% during operation</w:t>
      </w:r>
      <w:r w:rsidR="006204DA" w:rsidRPr="00AB0B5B">
        <w:rPr>
          <w:rFonts w:ascii="Gellix" w:hAnsi="Gellix"/>
          <w:sz w:val="22"/>
          <w:szCs w:val="22"/>
        </w:rPr>
        <w:t xml:space="preserve"> – </w:t>
      </w:r>
      <w:r w:rsidRPr="00AB0B5B">
        <w:rPr>
          <w:rFonts w:ascii="Gellix" w:hAnsi="Gellix"/>
          <w:sz w:val="22"/>
          <w:szCs w:val="22"/>
        </w:rPr>
        <w:t xml:space="preserve">compared to 100% for unrated corporates. Even high-quality projects (with cash flows, reserves and </w:t>
      </w:r>
      <w:r w:rsidR="006204DA" w:rsidRPr="00AB0B5B">
        <w:rPr>
          <w:rFonts w:ascii="Gellix" w:hAnsi="Gellix"/>
          <w:sz w:val="22"/>
          <w:szCs w:val="22"/>
        </w:rPr>
        <w:t xml:space="preserve">credit </w:t>
      </w:r>
      <w:r w:rsidRPr="00AB0B5B">
        <w:rPr>
          <w:rFonts w:ascii="Gellix" w:hAnsi="Gellix"/>
          <w:sz w:val="22"/>
          <w:szCs w:val="22"/>
        </w:rPr>
        <w:t>protections) face stringent criteria for an 80% risk weight.</w:t>
      </w:r>
      <w:r w:rsidR="007A6420" w:rsidRPr="00AB0B5B">
        <w:rPr>
          <w:rFonts w:ascii="Gellix" w:hAnsi="Gellix"/>
          <w:sz w:val="22"/>
          <w:szCs w:val="22"/>
        </w:rPr>
        <w:t xml:space="preserve"> This is despite data from Moody’s and the GEMs Consortium demonstrating that project finance in EMDEs </w:t>
      </w:r>
      <w:r w:rsidR="007A6420" w:rsidRPr="00AB0B5B">
        <w:rPr>
          <w:rFonts w:ascii="Gellix" w:hAnsi="Gellix"/>
          <w:sz w:val="22"/>
          <w:szCs w:val="22"/>
        </w:rPr>
        <w:lastRenderedPageBreak/>
        <w:t>outperforms corporate loans, with higher recovery rates and default rates comparable to investment-grade corporates after five years.</w:t>
      </w:r>
    </w:p>
    <w:p w14:paraId="25F42A43" w14:textId="2A0C4819" w:rsidR="00877B3B" w:rsidRPr="00AB0B5B" w:rsidRDefault="00877B3B" w:rsidP="00DC4D51">
      <w:pPr>
        <w:numPr>
          <w:ilvl w:val="0"/>
          <w:numId w:val="2"/>
        </w:numPr>
        <w:rPr>
          <w:rFonts w:ascii="Gellix" w:hAnsi="Gellix"/>
          <w:sz w:val="22"/>
          <w:szCs w:val="22"/>
        </w:rPr>
      </w:pPr>
      <w:r w:rsidRPr="00AB0B5B">
        <w:rPr>
          <w:rFonts w:ascii="Gellix" w:hAnsi="Gellix"/>
          <w:b/>
          <w:bCs/>
          <w:sz w:val="22"/>
          <w:szCs w:val="22"/>
        </w:rPr>
        <w:t xml:space="preserve">IRB </w:t>
      </w:r>
      <w:r w:rsidR="00146F68" w:rsidRPr="00AB0B5B">
        <w:rPr>
          <w:rFonts w:ascii="Gellix" w:hAnsi="Gellix"/>
          <w:b/>
          <w:bCs/>
          <w:sz w:val="22"/>
          <w:szCs w:val="22"/>
        </w:rPr>
        <w:t>a</w:t>
      </w:r>
      <w:r w:rsidRPr="00AB0B5B">
        <w:rPr>
          <w:rFonts w:ascii="Gellix" w:hAnsi="Gellix"/>
          <w:b/>
          <w:bCs/>
          <w:sz w:val="22"/>
          <w:szCs w:val="22"/>
        </w:rPr>
        <w:t>pproach</w:t>
      </w:r>
      <w:r w:rsidRPr="00AB0B5B">
        <w:rPr>
          <w:rFonts w:ascii="Gellix" w:hAnsi="Gellix"/>
          <w:sz w:val="22"/>
          <w:szCs w:val="22"/>
        </w:rPr>
        <w:t xml:space="preserve">: The internal ratings-based maturity adjustment assumes linear risk growth over time. In practice, </w:t>
      </w:r>
      <w:r w:rsidR="00BD4AF2" w:rsidRPr="00AB0B5B">
        <w:rPr>
          <w:rFonts w:ascii="Gellix" w:hAnsi="Gellix"/>
          <w:sz w:val="22"/>
          <w:szCs w:val="22"/>
        </w:rPr>
        <w:t xml:space="preserve">the experience of banks is that </w:t>
      </w:r>
      <w:r w:rsidRPr="00AB0B5B">
        <w:rPr>
          <w:rFonts w:ascii="Gellix" w:hAnsi="Gellix"/>
          <w:sz w:val="22"/>
          <w:szCs w:val="22"/>
        </w:rPr>
        <w:t>project finance exhibits decreasing risk as projects stabilize and generate revenue.</w:t>
      </w:r>
    </w:p>
    <w:p w14:paraId="39A695EA" w14:textId="0197F762" w:rsidR="00877B3B" w:rsidRPr="00AB0B5B" w:rsidRDefault="00F75A7E" w:rsidP="00DC4D51">
      <w:pPr>
        <w:numPr>
          <w:ilvl w:val="0"/>
          <w:numId w:val="2"/>
        </w:numPr>
        <w:rPr>
          <w:rFonts w:ascii="Gellix" w:hAnsi="Gellix"/>
          <w:sz w:val="22"/>
          <w:szCs w:val="22"/>
        </w:rPr>
      </w:pPr>
      <w:r w:rsidRPr="00AB0B5B">
        <w:rPr>
          <w:rFonts w:ascii="Gellix" w:hAnsi="Gellix"/>
          <w:b/>
          <w:bCs/>
          <w:sz w:val="22"/>
          <w:szCs w:val="22"/>
        </w:rPr>
        <w:t>Embedded p</w:t>
      </w:r>
      <w:r w:rsidR="005B53F3" w:rsidRPr="00AB0B5B">
        <w:rPr>
          <w:rFonts w:ascii="Gellix" w:hAnsi="Gellix"/>
          <w:b/>
          <w:bCs/>
          <w:sz w:val="22"/>
          <w:szCs w:val="22"/>
        </w:rPr>
        <w:t>rotections</w:t>
      </w:r>
      <w:r w:rsidR="006D527D" w:rsidRPr="00AB0B5B">
        <w:rPr>
          <w:rFonts w:ascii="Gellix" w:hAnsi="Gellix"/>
          <w:sz w:val="22"/>
          <w:szCs w:val="22"/>
        </w:rPr>
        <w:t>: Basel does not currently</w:t>
      </w:r>
      <w:r w:rsidR="00877B3B" w:rsidRPr="00AB0B5B">
        <w:rPr>
          <w:rFonts w:ascii="Gellix" w:hAnsi="Gellix"/>
          <w:sz w:val="22"/>
          <w:szCs w:val="22"/>
        </w:rPr>
        <w:t xml:space="preserve"> recognize borrower-level mitigants</w:t>
      </w:r>
      <w:r w:rsidR="006D527D" w:rsidRPr="00AB0B5B">
        <w:rPr>
          <w:rFonts w:ascii="Gellix" w:hAnsi="Gellix"/>
          <w:sz w:val="22"/>
          <w:szCs w:val="22"/>
        </w:rPr>
        <w:t xml:space="preserve"> in project finance transactions </w:t>
      </w:r>
      <w:r w:rsidR="00877B3B" w:rsidRPr="00AB0B5B">
        <w:rPr>
          <w:rFonts w:ascii="Gellix" w:hAnsi="Gellix"/>
          <w:sz w:val="22"/>
          <w:szCs w:val="22"/>
        </w:rPr>
        <w:t>(e.g. FX hedging, purchase agreements).</w:t>
      </w:r>
    </w:p>
    <w:p w14:paraId="60FCCB97" w14:textId="77777777" w:rsidR="00A81979" w:rsidRPr="00AB0B5B" w:rsidRDefault="00A81979" w:rsidP="001D65CE">
      <w:pPr>
        <w:spacing w:after="120"/>
        <w:rPr>
          <w:rFonts w:ascii="Gellix" w:hAnsi="Gellix"/>
          <w:b/>
          <w:bCs/>
          <w:sz w:val="22"/>
          <w:szCs w:val="22"/>
        </w:rPr>
      </w:pPr>
    </w:p>
    <w:p w14:paraId="61551C89" w14:textId="761D66C7" w:rsidR="00877B3B" w:rsidRPr="00AB0B5B" w:rsidRDefault="009813D6" w:rsidP="001D65CE">
      <w:pPr>
        <w:spacing w:after="120"/>
        <w:rPr>
          <w:rFonts w:ascii="Gellix" w:hAnsi="Gellix"/>
          <w:sz w:val="22"/>
          <w:szCs w:val="22"/>
        </w:rPr>
      </w:pPr>
      <w:r w:rsidRPr="00AB0B5B">
        <w:rPr>
          <w:rFonts w:ascii="Gellix" w:hAnsi="Gellix"/>
          <w:b/>
          <w:bCs/>
          <w:sz w:val="22"/>
          <w:szCs w:val="22"/>
        </w:rPr>
        <w:t>Impact of c</w:t>
      </w:r>
      <w:r w:rsidR="00877B3B" w:rsidRPr="00AB0B5B">
        <w:rPr>
          <w:rFonts w:ascii="Gellix" w:hAnsi="Gellix"/>
          <w:b/>
          <w:bCs/>
          <w:sz w:val="22"/>
          <w:szCs w:val="22"/>
        </w:rPr>
        <w:t xml:space="preserve">ountry </w:t>
      </w:r>
      <w:r w:rsidRPr="00AB0B5B">
        <w:rPr>
          <w:rFonts w:ascii="Gellix" w:hAnsi="Gellix"/>
          <w:b/>
          <w:bCs/>
          <w:sz w:val="22"/>
          <w:szCs w:val="22"/>
        </w:rPr>
        <w:t>r</w:t>
      </w:r>
      <w:r w:rsidR="00877B3B" w:rsidRPr="00AB0B5B">
        <w:rPr>
          <w:rFonts w:ascii="Gellix" w:hAnsi="Gellix"/>
          <w:b/>
          <w:bCs/>
          <w:sz w:val="22"/>
          <w:szCs w:val="22"/>
        </w:rPr>
        <w:t xml:space="preserve">isk </w:t>
      </w:r>
      <w:r w:rsidRPr="00AB0B5B">
        <w:rPr>
          <w:rFonts w:ascii="Gellix" w:hAnsi="Gellix"/>
          <w:b/>
          <w:bCs/>
          <w:sz w:val="22"/>
          <w:szCs w:val="22"/>
        </w:rPr>
        <w:t>c</w:t>
      </w:r>
      <w:r w:rsidR="00877B3B" w:rsidRPr="00AB0B5B">
        <w:rPr>
          <w:rFonts w:ascii="Gellix" w:hAnsi="Gellix"/>
          <w:b/>
          <w:bCs/>
          <w:sz w:val="22"/>
          <w:szCs w:val="22"/>
        </w:rPr>
        <w:t xml:space="preserve">alculations </w:t>
      </w:r>
    </w:p>
    <w:p w14:paraId="527504E8" w14:textId="30B59CD5" w:rsidR="00660F8E" w:rsidRPr="00AB0B5B" w:rsidRDefault="00076A29" w:rsidP="00DC4D51">
      <w:pPr>
        <w:rPr>
          <w:rFonts w:ascii="Gellix" w:hAnsi="Gellix"/>
          <w:sz w:val="22"/>
          <w:szCs w:val="22"/>
        </w:rPr>
      </w:pPr>
      <w:r w:rsidRPr="00AB0B5B">
        <w:rPr>
          <w:rFonts w:ascii="Gellix" w:hAnsi="Gellix"/>
          <w:b/>
          <w:bCs/>
          <w:i/>
          <w:iCs/>
          <w:noProof/>
          <w:sz w:val="22"/>
          <w:szCs w:val="22"/>
        </w:rPr>
        <mc:AlternateContent>
          <mc:Choice Requires="wps">
            <w:drawing>
              <wp:anchor distT="45720" distB="45720" distL="114300" distR="114300" simplePos="0" relativeHeight="251655680" behindDoc="1" locked="0" layoutInCell="1" allowOverlap="1" wp14:anchorId="1B99832D" wp14:editId="39AEAE3E">
                <wp:simplePos x="0" y="0"/>
                <wp:positionH relativeFrom="margin">
                  <wp:align>center</wp:align>
                </wp:positionH>
                <wp:positionV relativeFrom="paragraph">
                  <wp:posOffset>1506156</wp:posOffset>
                </wp:positionV>
                <wp:extent cx="5438775" cy="2661285"/>
                <wp:effectExtent l="0" t="0" r="28575" b="24765"/>
                <wp:wrapTight wrapText="bothSides">
                  <wp:wrapPolygon edited="0">
                    <wp:start x="0" y="0"/>
                    <wp:lineTo x="0" y="21646"/>
                    <wp:lineTo x="21638" y="21646"/>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661367"/>
                        </a:xfrm>
                        <a:prstGeom prst="rect">
                          <a:avLst/>
                        </a:prstGeom>
                        <a:solidFill>
                          <a:schemeClr val="bg1">
                            <a:lumMod val="85000"/>
                          </a:schemeClr>
                        </a:solidFill>
                        <a:ln w="9525">
                          <a:solidFill>
                            <a:srgbClr val="000000"/>
                          </a:solidFill>
                          <a:miter lim="800000"/>
                          <a:headEnd/>
                          <a:tailEnd/>
                        </a:ln>
                      </wps:spPr>
                      <wps:txbx>
                        <w:txbxContent>
                          <w:p w14:paraId="117173E8" w14:textId="77777777" w:rsidR="007A6420" w:rsidRPr="000871DD" w:rsidRDefault="007A6420" w:rsidP="007A6420">
                            <w:pPr>
                              <w:rPr>
                                <w:rFonts w:ascii="Gellix" w:hAnsi="Gellix"/>
                                <w:b/>
                                <w:bCs/>
                                <w:sz w:val="21"/>
                                <w:szCs w:val="21"/>
                              </w:rPr>
                            </w:pPr>
                            <w:r w:rsidRPr="000871DD">
                              <w:rPr>
                                <w:rFonts w:ascii="Gellix" w:hAnsi="Gellix"/>
                                <w:b/>
                                <w:bCs/>
                                <w:sz w:val="21"/>
                                <w:szCs w:val="21"/>
                              </w:rPr>
                              <w:t>Illustrative example:</w:t>
                            </w:r>
                          </w:p>
                          <w:p w14:paraId="4878554F" w14:textId="77777777" w:rsidR="007A6420" w:rsidRPr="000871DD" w:rsidRDefault="007A6420" w:rsidP="007A6420">
                            <w:pPr>
                              <w:rPr>
                                <w:rFonts w:ascii="Gellix" w:hAnsi="Gellix"/>
                                <w:sz w:val="21"/>
                                <w:szCs w:val="21"/>
                              </w:rPr>
                            </w:pPr>
                            <w:r w:rsidRPr="000871DD">
                              <w:rPr>
                                <w:rFonts w:ascii="Gellix" w:hAnsi="Gellix"/>
                                <w:sz w:val="21"/>
                                <w:szCs w:val="21"/>
                              </w:rPr>
                              <w:t>A commercial bank considers lending to a solar energy project in a Sub-Saharan African country rated B-. Despite having:</w:t>
                            </w:r>
                          </w:p>
                          <w:p w14:paraId="4B6DA339" w14:textId="0418C67C" w:rsidR="007A6420" w:rsidRPr="000871DD" w:rsidRDefault="007A6420" w:rsidP="007A6420">
                            <w:pPr>
                              <w:numPr>
                                <w:ilvl w:val="0"/>
                                <w:numId w:val="7"/>
                              </w:numPr>
                              <w:rPr>
                                <w:rFonts w:ascii="Gellix" w:hAnsi="Gellix"/>
                                <w:sz w:val="21"/>
                                <w:szCs w:val="21"/>
                              </w:rPr>
                            </w:pPr>
                            <w:r w:rsidRPr="000871DD">
                              <w:rPr>
                                <w:rFonts w:ascii="Gellix" w:hAnsi="Gellix"/>
                                <w:sz w:val="21"/>
                                <w:szCs w:val="21"/>
                              </w:rPr>
                              <w:t>A long-term power purchase agreement with a multilateral-backed utility,</w:t>
                            </w:r>
                          </w:p>
                          <w:p w14:paraId="481B8E49" w14:textId="77777777" w:rsidR="007A6420" w:rsidRPr="000871DD" w:rsidRDefault="007A6420" w:rsidP="007A6420">
                            <w:pPr>
                              <w:numPr>
                                <w:ilvl w:val="0"/>
                                <w:numId w:val="7"/>
                              </w:numPr>
                              <w:rPr>
                                <w:rFonts w:ascii="Gellix" w:hAnsi="Gellix"/>
                                <w:sz w:val="21"/>
                                <w:szCs w:val="21"/>
                              </w:rPr>
                            </w:pPr>
                            <w:r w:rsidRPr="000871DD">
                              <w:rPr>
                                <w:rFonts w:ascii="Gellix" w:hAnsi="Gellix"/>
                                <w:sz w:val="21"/>
                                <w:szCs w:val="21"/>
                              </w:rPr>
                              <w:t>MIGA PRI against currency inconvertibility and breach of contract, and</w:t>
                            </w:r>
                          </w:p>
                          <w:p w14:paraId="642E526C" w14:textId="77777777" w:rsidR="007A6420" w:rsidRPr="000871DD" w:rsidRDefault="007A6420" w:rsidP="007A6420">
                            <w:pPr>
                              <w:numPr>
                                <w:ilvl w:val="0"/>
                                <w:numId w:val="7"/>
                              </w:numPr>
                              <w:rPr>
                                <w:rFonts w:ascii="Gellix" w:hAnsi="Gellix"/>
                                <w:sz w:val="21"/>
                                <w:szCs w:val="21"/>
                              </w:rPr>
                            </w:pPr>
                            <w:r w:rsidRPr="000871DD">
                              <w:rPr>
                                <w:rFonts w:ascii="Gellix" w:hAnsi="Gellix"/>
                                <w:sz w:val="21"/>
                                <w:szCs w:val="21"/>
                              </w:rPr>
                              <w:t>Co-financing from a MDB (A-loan),</w:t>
                            </w:r>
                          </w:p>
                          <w:p w14:paraId="601CD326" w14:textId="77777777" w:rsidR="007A6420" w:rsidRPr="000871DD" w:rsidRDefault="007A6420" w:rsidP="007A6420">
                            <w:pPr>
                              <w:rPr>
                                <w:rFonts w:ascii="Gellix" w:hAnsi="Gellix"/>
                                <w:sz w:val="21"/>
                                <w:szCs w:val="21"/>
                              </w:rPr>
                            </w:pPr>
                            <w:r w:rsidRPr="000871DD">
                              <w:rPr>
                                <w:rFonts w:ascii="Gellix" w:hAnsi="Gellix"/>
                                <w:sz w:val="21"/>
                                <w:szCs w:val="21"/>
                              </w:rPr>
                              <w:t>...the exposure still attracts a 100%+ capital charge due to the country’s sovereign rating. This undermines the effect of risk mitigants and disincentivizes the bank’s participation.</w:t>
                            </w:r>
                          </w:p>
                          <w:p w14:paraId="4CDD3172" w14:textId="77777777" w:rsidR="007A6420" w:rsidRPr="00AB0B5B" w:rsidRDefault="007A6420" w:rsidP="007A64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9832D" id="_x0000_s1027" type="#_x0000_t202" style="position:absolute;margin-left:0;margin-top:118.6pt;width:428.25pt;height:209.5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" fillcolor="#d8d8d8 [2732]">
                <v:textbox>
                  <w:txbxContent>
                    <w:p w14:paraId="117173E8" w14:textId="77777777" w:rsidR="007A6420" w:rsidRPr="000871DD" w:rsidRDefault="007A6420" w:rsidP="007A6420">
                      <w:pPr>
                        <w:rPr>
                          <w:rFonts w:ascii="Gellix" w:hAnsi="Gellix"/>
                          <w:b/>
                          <w:bCs/>
                          <w:sz w:val="21"/>
                          <w:szCs w:val="21"/>
                        </w:rPr>
                      </w:pPr>
                      <w:r w:rsidRPr="000871DD">
                        <w:rPr>
                          <w:rFonts w:ascii="Gellix" w:hAnsi="Gellix"/>
                          <w:b/>
                          <w:bCs/>
                          <w:sz w:val="21"/>
                          <w:szCs w:val="21"/>
                        </w:rPr>
                        <w:t>Illustrative example:</w:t>
                      </w:r>
                    </w:p>
                    <w:p w14:paraId="4878554F" w14:textId="77777777" w:rsidR="007A6420" w:rsidRPr="000871DD" w:rsidRDefault="007A6420" w:rsidP="007A6420">
                      <w:pPr>
                        <w:rPr>
                          <w:rFonts w:ascii="Gellix" w:hAnsi="Gellix"/>
                          <w:sz w:val="21"/>
                          <w:szCs w:val="21"/>
                        </w:rPr>
                      </w:pPr>
                      <w:r w:rsidRPr="000871DD">
                        <w:rPr>
                          <w:rFonts w:ascii="Gellix" w:hAnsi="Gellix"/>
                          <w:sz w:val="21"/>
                          <w:szCs w:val="21"/>
                        </w:rPr>
                        <w:t>A commercial bank considers lending to a solar energy project in a Sub-Saharan African country rated B-. Despite having:</w:t>
                      </w:r>
                    </w:p>
                    <w:p w14:paraId="4B6DA339" w14:textId="0418C67C" w:rsidR="007A6420" w:rsidRPr="000871DD" w:rsidRDefault="007A6420" w:rsidP="007A6420">
                      <w:pPr>
                        <w:numPr>
                          <w:ilvl w:val="0"/>
                          <w:numId w:val="7"/>
                        </w:numPr>
                        <w:rPr>
                          <w:rFonts w:ascii="Gellix" w:hAnsi="Gellix"/>
                          <w:sz w:val="21"/>
                          <w:szCs w:val="21"/>
                        </w:rPr>
                      </w:pPr>
                      <w:r w:rsidRPr="000871DD">
                        <w:rPr>
                          <w:rFonts w:ascii="Gellix" w:hAnsi="Gellix"/>
                          <w:sz w:val="21"/>
                          <w:szCs w:val="21"/>
                        </w:rPr>
                        <w:t>A long-term power purchase agreement with a multilateral-backed utility,</w:t>
                      </w:r>
                    </w:p>
                    <w:p w14:paraId="481B8E49" w14:textId="77777777" w:rsidR="007A6420" w:rsidRPr="000871DD" w:rsidRDefault="007A6420" w:rsidP="007A6420">
                      <w:pPr>
                        <w:numPr>
                          <w:ilvl w:val="0"/>
                          <w:numId w:val="7"/>
                        </w:numPr>
                        <w:rPr>
                          <w:rFonts w:ascii="Gellix" w:hAnsi="Gellix"/>
                          <w:sz w:val="21"/>
                          <w:szCs w:val="21"/>
                        </w:rPr>
                      </w:pPr>
                      <w:r w:rsidRPr="000871DD">
                        <w:rPr>
                          <w:rFonts w:ascii="Gellix" w:hAnsi="Gellix"/>
                          <w:sz w:val="21"/>
                          <w:szCs w:val="21"/>
                        </w:rPr>
                        <w:t>MIGA PRI against currency inconvertibility and breach of contract, and</w:t>
                      </w:r>
                    </w:p>
                    <w:p w14:paraId="642E526C" w14:textId="77777777" w:rsidR="007A6420" w:rsidRPr="000871DD" w:rsidRDefault="007A6420" w:rsidP="007A6420">
                      <w:pPr>
                        <w:numPr>
                          <w:ilvl w:val="0"/>
                          <w:numId w:val="7"/>
                        </w:numPr>
                        <w:rPr>
                          <w:rFonts w:ascii="Gellix" w:hAnsi="Gellix"/>
                          <w:sz w:val="21"/>
                          <w:szCs w:val="21"/>
                        </w:rPr>
                      </w:pPr>
                      <w:r w:rsidRPr="000871DD">
                        <w:rPr>
                          <w:rFonts w:ascii="Gellix" w:hAnsi="Gellix"/>
                          <w:sz w:val="21"/>
                          <w:szCs w:val="21"/>
                        </w:rPr>
                        <w:t>Co-financing from a MDB (A-loan),</w:t>
                      </w:r>
                    </w:p>
                    <w:p w14:paraId="601CD326" w14:textId="77777777" w:rsidR="007A6420" w:rsidRPr="000871DD" w:rsidRDefault="007A6420" w:rsidP="007A6420">
                      <w:pPr>
                        <w:rPr>
                          <w:rFonts w:ascii="Gellix" w:hAnsi="Gellix"/>
                          <w:sz w:val="21"/>
                          <w:szCs w:val="21"/>
                        </w:rPr>
                      </w:pPr>
                      <w:r w:rsidRPr="000871DD">
                        <w:rPr>
                          <w:rFonts w:ascii="Gellix" w:hAnsi="Gellix"/>
                          <w:sz w:val="21"/>
                          <w:szCs w:val="21"/>
                        </w:rPr>
                        <w:t>...the exposure still attracts a 100%+ capital charge due to the country’s sovereign rating. This undermines the effect of risk mitigants and disincentivizes the bank’s participation.</w:t>
                      </w:r>
                    </w:p>
                    <w:p w14:paraId="4CDD3172" w14:textId="77777777" w:rsidR="007A6420" w:rsidRPr="00AB0B5B" w:rsidRDefault="007A6420" w:rsidP="007A6420"/>
                  </w:txbxContent>
                </v:textbox>
                <w10:wrap type="tight" anchorx="margin"/>
              </v:shape>
            </w:pict>
          </mc:Fallback>
        </mc:AlternateContent>
      </w:r>
      <w:r w:rsidR="00692728" w:rsidRPr="00AB0B5B">
        <w:rPr>
          <w:rFonts w:ascii="Gellix" w:hAnsi="Gellix"/>
          <w:sz w:val="22"/>
          <w:szCs w:val="22"/>
        </w:rPr>
        <w:t xml:space="preserve">While the Basel Framework does not explicitly assign capital charges based on country risk per se, it does so indirectly </w:t>
      </w:r>
      <w:r w:rsidR="009F241C" w:rsidRPr="00AB0B5B">
        <w:rPr>
          <w:rFonts w:ascii="Gellix" w:hAnsi="Gellix"/>
          <w:sz w:val="22"/>
          <w:szCs w:val="22"/>
        </w:rPr>
        <w:t xml:space="preserve">through </w:t>
      </w:r>
      <w:r w:rsidR="009F241C" w:rsidRPr="00AB0B5B">
        <w:rPr>
          <w:rFonts w:ascii="Gellix" w:hAnsi="Gellix"/>
          <w:b/>
          <w:bCs/>
          <w:sz w:val="22"/>
          <w:szCs w:val="22"/>
        </w:rPr>
        <w:t>c</w:t>
      </w:r>
      <w:r w:rsidR="00692728" w:rsidRPr="00AB0B5B">
        <w:rPr>
          <w:rFonts w:ascii="Gellix" w:hAnsi="Gellix"/>
          <w:b/>
          <w:bCs/>
          <w:sz w:val="22"/>
          <w:szCs w:val="22"/>
        </w:rPr>
        <w:t>ountry ceilings and risk-weight floors</w:t>
      </w:r>
      <w:r w:rsidR="00692728" w:rsidRPr="00AB0B5B">
        <w:rPr>
          <w:rFonts w:ascii="Gellix" w:hAnsi="Gellix"/>
          <w:sz w:val="22"/>
          <w:szCs w:val="22"/>
        </w:rPr>
        <w:t xml:space="preserve"> applied to non-sovereign exposures (e.g. corporates or projects) in lower-rated jurisdictions.</w:t>
      </w:r>
      <w:r w:rsidR="006D038B" w:rsidRPr="00AB0B5B">
        <w:rPr>
          <w:rFonts w:ascii="Gellix" w:hAnsi="Gellix"/>
          <w:sz w:val="22"/>
          <w:szCs w:val="22"/>
        </w:rPr>
        <w:t xml:space="preserve"> </w:t>
      </w:r>
      <w:r w:rsidR="00660F8E" w:rsidRPr="00AB0B5B">
        <w:rPr>
          <w:rFonts w:ascii="Gellix" w:hAnsi="Gellix"/>
          <w:sz w:val="22"/>
          <w:szCs w:val="22"/>
        </w:rPr>
        <w:t>For example, exposures to a corporate in a country with a sovereign rating of B or below may receive a 100% or higher risk weight, even if the underlying project or borrower is highly secure.</w:t>
      </w:r>
    </w:p>
    <w:p w14:paraId="334AF857" w14:textId="77777777" w:rsidR="00D206E3" w:rsidRDefault="00013EAC" w:rsidP="00013EAC">
      <w:pPr>
        <w:tabs>
          <w:tab w:val="num" w:pos="720"/>
        </w:tabs>
        <w:rPr>
          <w:rFonts w:ascii="Gellix" w:hAnsi="Gellix"/>
          <w:b/>
          <w:bCs/>
          <w:sz w:val="22"/>
          <w:szCs w:val="22"/>
        </w:rPr>
      </w:pPr>
      <w:r w:rsidRPr="00AB0B5B">
        <w:rPr>
          <w:rFonts w:ascii="Gellix" w:hAnsi="Gellix"/>
          <w:b/>
          <w:bCs/>
          <w:sz w:val="22"/>
          <w:szCs w:val="22"/>
        </w:rPr>
        <w:br/>
      </w:r>
    </w:p>
    <w:p w14:paraId="6DB9C94C" w14:textId="77777777" w:rsidR="00D206E3" w:rsidRDefault="00D206E3" w:rsidP="00013EAC">
      <w:pPr>
        <w:tabs>
          <w:tab w:val="num" w:pos="720"/>
        </w:tabs>
        <w:rPr>
          <w:rFonts w:ascii="Gellix" w:hAnsi="Gellix"/>
          <w:b/>
          <w:bCs/>
          <w:sz w:val="22"/>
          <w:szCs w:val="22"/>
        </w:rPr>
      </w:pPr>
    </w:p>
    <w:p w14:paraId="30D75736" w14:textId="5E25DDC5" w:rsidR="00013EAC" w:rsidRPr="00AB0B5B" w:rsidRDefault="00013EAC" w:rsidP="00013EAC">
      <w:pPr>
        <w:tabs>
          <w:tab w:val="num" w:pos="720"/>
        </w:tabs>
        <w:rPr>
          <w:rFonts w:ascii="Gellix" w:hAnsi="Gellix"/>
          <w:b/>
          <w:bCs/>
          <w:sz w:val="22"/>
          <w:szCs w:val="22"/>
        </w:rPr>
      </w:pPr>
      <w:r w:rsidRPr="00AB0B5B">
        <w:rPr>
          <w:rFonts w:ascii="Gellix" w:hAnsi="Gellix"/>
          <w:b/>
          <w:bCs/>
          <w:sz w:val="22"/>
          <w:szCs w:val="22"/>
        </w:rPr>
        <w:lastRenderedPageBreak/>
        <w:t xml:space="preserve">RECOMMENDATIONS </w:t>
      </w:r>
    </w:p>
    <w:p w14:paraId="2DFD5194" w14:textId="63E26E40" w:rsidR="00877B3B" w:rsidRPr="00AB0B5B" w:rsidRDefault="00086F74" w:rsidP="00086F74">
      <w:pPr>
        <w:rPr>
          <w:rFonts w:ascii="Gellix" w:hAnsi="Gellix"/>
          <w:sz w:val="22"/>
          <w:szCs w:val="22"/>
        </w:rPr>
      </w:pPr>
      <w:r w:rsidRPr="00AB0B5B">
        <w:rPr>
          <w:rFonts w:ascii="Gellix" w:hAnsi="Gellix"/>
          <w:sz w:val="22"/>
          <w:szCs w:val="22"/>
        </w:rPr>
        <w:t>Climate change presents a systemic risk to financial stability, especially in EMDEs. As countries and financial institutions mobilize to support net-zero transitions, prudential regulation must evolve to avoid unintended obstacles to climate-aligned investment.</w:t>
      </w:r>
    </w:p>
    <w:p w14:paraId="71D06574" w14:textId="3483F292" w:rsidR="00086F74" w:rsidRPr="00AB0B5B" w:rsidRDefault="00086F74" w:rsidP="00086F74">
      <w:pPr>
        <w:rPr>
          <w:rFonts w:ascii="Gellix" w:hAnsi="Gellix"/>
          <w:sz w:val="22"/>
          <w:szCs w:val="22"/>
        </w:rPr>
      </w:pPr>
      <w:r w:rsidRPr="00AB0B5B">
        <w:rPr>
          <w:rFonts w:ascii="Gellix" w:hAnsi="Gellix"/>
          <w:sz w:val="22"/>
          <w:szCs w:val="22"/>
        </w:rPr>
        <w:t xml:space="preserve">Given the urgency of the financing challenge faced by </w:t>
      </w:r>
      <w:r w:rsidR="00C47561" w:rsidRPr="00AB0B5B">
        <w:rPr>
          <w:rFonts w:ascii="Gellix" w:hAnsi="Gellix"/>
          <w:sz w:val="22"/>
          <w:szCs w:val="22"/>
        </w:rPr>
        <w:t xml:space="preserve">many EMDEs we encourage policymakers to consider a two-step approach </w:t>
      </w:r>
      <w:r w:rsidR="00EE4D52" w:rsidRPr="00AB0B5B">
        <w:rPr>
          <w:rFonts w:ascii="Gellix" w:hAnsi="Gellix"/>
          <w:sz w:val="22"/>
          <w:szCs w:val="22"/>
        </w:rPr>
        <w:t xml:space="preserve">to macroprudential reform – starting with low-hanging fruit that could yield </w:t>
      </w:r>
      <w:r w:rsidR="00774216" w:rsidRPr="00AB0B5B">
        <w:rPr>
          <w:rFonts w:ascii="Gellix" w:hAnsi="Gellix"/>
          <w:sz w:val="22"/>
          <w:szCs w:val="22"/>
        </w:rPr>
        <w:t xml:space="preserve">an </w:t>
      </w:r>
      <w:r w:rsidR="005E5E87" w:rsidRPr="00AB0B5B">
        <w:rPr>
          <w:rFonts w:ascii="Gellix" w:hAnsi="Gellix"/>
          <w:sz w:val="22"/>
          <w:szCs w:val="22"/>
        </w:rPr>
        <w:t xml:space="preserve">immediate </w:t>
      </w:r>
      <w:r w:rsidR="00774216" w:rsidRPr="00AB0B5B">
        <w:rPr>
          <w:rFonts w:ascii="Gellix" w:hAnsi="Gellix"/>
          <w:sz w:val="22"/>
          <w:szCs w:val="22"/>
        </w:rPr>
        <w:t>boost</w:t>
      </w:r>
      <w:r w:rsidR="005E5E87" w:rsidRPr="00AB0B5B">
        <w:rPr>
          <w:rFonts w:ascii="Gellix" w:hAnsi="Gellix"/>
          <w:sz w:val="22"/>
          <w:szCs w:val="22"/>
        </w:rPr>
        <w:t xml:space="preserve"> to climate finance flows, before considering broader structural reforms. </w:t>
      </w:r>
    </w:p>
    <w:p w14:paraId="3F1792F3" w14:textId="6682AD7A" w:rsidR="005E5E87" w:rsidRPr="00AB0B5B" w:rsidRDefault="0046017B" w:rsidP="001D65CE">
      <w:pPr>
        <w:spacing w:after="120"/>
        <w:rPr>
          <w:rFonts w:ascii="Gellix" w:hAnsi="Gellix"/>
          <w:b/>
          <w:bCs/>
          <w:sz w:val="22"/>
          <w:szCs w:val="22"/>
        </w:rPr>
      </w:pPr>
      <w:r w:rsidRPr="00AB0B5B">
        <w:rPr>
          <w:rFonts w:ascii="Gellix" w:hAnsi="Gellix"/>
          <w:b/>
          <w:bCs/>
          <w:sz w:val="22"/>
          <w:szCs w:val="22"/>
        </w:rPr>
        <w:t xml:space="preserve">Step 1: </w:t>
      </w:r>
      <w:r w:rsidR="00743BFD" w:rsidRPr="00AB0B5B">
        <w:rPr>
          <w:rFonts w:ascii="Gellix" w:hAnsi="Gellix"/>
          <w:b/>
          <w:bCs/>
          <w:sz w:val="22"/>
          <w:szCs w:val="22"/>
        </w:rPr>
        <w:t>T</w:t>
      </w:r>
      <w:r w:rsidR="00FC55B4" w:rsidRPr="00AB0B5B">
        <w:rPr>
          <w:rFonts w:ascii="Gellix" w:hAnsi="Gellix"/>
          <w:b/>
          <w:bCs/>
          <w:sz w:val="22"/>
          <w:szCs w:val="22"/>
        </w:rPr>
        <w:t xml:space="preserve">echnical adjustments </w:t>
      </w:r>
      <w:r w:rsidRPr="00AB0B5B">
        <w:rPr>
          <w:rFonts w:ascii="Gellix" w:hAnsi="Gellix"/>
          <w:b/>
          <w:bCs/>
          <w:sz w:val="22"/>
          <w:szCs w:val="22"/>
        </w:rPr>
        <w:t>and clarifications</w:t>
      </w:r>
    </w:p>
    <w:p w14:paraId="23F09F92" w14:textId="25F17E19" w:rsidR="004B3C80" w:rsidRPr="00AB0B5B" w:rsidRDefault="00060143" w:rsidP="000F5AA6">
      <w:pPr>
        <w:rPr>
          <w:rFonts w:ascii="Gellix" w:hAnsi="Gellix"/>
          <w:sz w:val="22"/>
          <w:szCs w:val="22"/>
        </w:rPr>
      </w:pPr>
      <w:r w:rsidRPr="00AB0B5B">
        <w:rPr>
          <w:rFonts w:ascii="Gellix" w:hAnsi="Gellix"/>
          <w:sz w:val="22"/>
          <w:szCs w:val="22"/>
        </w:rPr>
        <w:t xml:space="preserve">Small, targeted adjustments </w:t>
      </w:r>
      <w:r w:rsidR="0046017B" w:rsidRPr="00AB0B5B">
        <w:rPr>
          <w:rFonts w:ascii="Gellix" w:hAnsi="Gellix"/>
          <w:sz w:val="22"/>
          <w:szCs w:val="22"/>
        </w:rPr>
        <w:t xml:space="preserve">to the Basel framework </w:t>
      </w:r>
      <w:r w:rsidRPr="00AB0B5B">
        <w:rPr>
          <w:rFonts w:ascii="Gellix" w:hAnsi="Gellix"/>
          <w:sz w:val="22"/>
          <w:szCs w:val="22"/>
        </w:rPr>
        <w:t>could unlock substantial additional investment</w:t>
      </w:r>
      <w:r w:rsidR="0046017B" w:rsidRPr="00AB0B5B">
        <w:rPr>
          <w:rFonts w:ascii="Gellix" w:hAnsi="Gellix"/>
          <w:sz w:val="22"/>
          <w:szCs w:val="22"/>
        </w:rPr>
        <w:t xml:space="preserve"> – either by way of </w:t>
      </w:r>
      <w:r w:rsidR="00EC4B9B" w:rsidRPr="00AB0B5B">
        <w:rPr>
          <w:rFonts w:ascii="Gellix" w:hAnsi="Gellix"/>
          <w:sz w:val="22"/>
          <w:szCs w:val="22"/>
        </w:rPr>
        <w:t xml:space="preserve">new guidance from the </w:t>
      </w:r>
      <w:r w:rsidR="00285C7E" w:rsidRPr="00AB0B5B">
        <w:rPr>
          <w:rFonts w:ascii="Gellix" w:hAnsi="Gellix"/>
          <w:sz w:val="22"/>
          <w:szCs w:val="22"/>
        </w:rPr>
        <w:t xml:space="preserve">Basel Committee on Banking Supervision or, failing that, coordinated action from national </w:t>
      </w:r>
      <w:r w:rsidR="004B3C80" w:rsidRPr="00AB0B5B">
        <w:rPr>
          <w:rFonts w:ascii="Gellix" w:hAnsi="Gellix"/>
          <w:sz w:val="22"/>
          <w:szCs w:val="22"/>
        </w:rPr>
        <w:t xml:space="preserve">regulators. Such </w:t>
      </w:r>
      <w:r w:rsidR="00CA466D" w:rsidRPr="00AB0B5B">
        <w:rPr>
          <w:rFonts w:ascii="Gellix" w:hAnsi="Gellix"/>
          <w:sz w:val="22"/>
          <w:szCs w:val="22"/>
        </w:rPr>
        <w:t xml:space="preserve">steps </w:t>
      </w:r>
      <w:r w:rsidR="004B3C80" w:rsidRPr="00AB0B5B">
        <w:rPr>
          <w:rFonts w:ascii="Gellix" w:hAnsi="Gellix"/>
          <w:sz w:val="22"/>
          <w:szCs w:val="22"/>
        </w:rPr>
        <w:t xml:space="preserve">could include: </w:t>
      </w:r>
    </w:p>
    <w:p w14:paraId="2BE5B3E2" w14:textId="708AEDA8" w:rsidR="000F5AA6" w:rsidRPr="00AB0B5B" w:rsidRDefault="000F5AA6" w:rsidP="00D96844">
      <w:pPr>
        <w:pStyle w:val="ListParagraph"/>
        <w:numPr>
          <w:ilvl w:val="0"/>
          <w:numId w:val="10"/>
        </w:numPr>
        <w:rPr>
          <w:rFonts w:ascii="Gellix" w:hAnsi="Gellix"/>
          <w:sz w:val="22"/>
          <w:szCs w:val="22"/>
        </w:rPr>
      </w:pPr>
      <w:r w:rsidRPr="00AB0B5B">
        <w:rPr>
          <w:rFonts w:ascii="Gellix" w:hAnsi="Gellix"/>
          <w:b/>
          <w:bCs/>
          <w:sz w:val="22"/>
          <w:szCs w:val="22"/>
        </w:rPr>
        <w:t>Updat</w:t>
      </w:r>
      <w:r w:rsidR="000078DC" w:rsidRPr="00AB0B5B">
        <w:rPr>
          <w:rFonts w:ascii="Gellix" w:hAnsi="Gellix"/>
          <w:b/>
          <w:bCs/>
          <w:sz w:val="22"/>
          <w:szCs w:val="22"/>
        </w:rPr>
        <w:t>ing</w:t>
      </w:r>
      <w:r w:rsidRPr="00AB0B5B">
        <w:rPr>
          <w:rFonts w:ascii="Gellix" w:hAnsi="Gellix"/>
          <w:b/>
          <w:bCs/>
          <w:sz w:val="22"/>
          <w:szCs w:val="22"/>
        </w:rPr>
        <w:t xml:space="preserve"> credit risk mitigation guidance</w:t>
      </w:r>
      <w:r w:rsidRPr="00AB0B5B">
        <w:rPr>
          <w:rFonts w:ascii="Gellix" w:hAnsi="Gellix"/>
          <w:sz w:val="22"/>
          <w:szCs w:val="22"/>
        </w:rPr>
        <w:t xml:space="preserve"> to accommodate the real-world mechanics of MD</w:t>
      </w:r>
      <w:r w:rsidR="007934C6" w:rsidRPr="00AB0B5B">
        <w:rPr>
          <w:rFonts w:ascii="Gellix" w:hAnsi="Gellix"/>
          <w:sz w:val="22"/>
          <w:szCs w:val="22"/>
        </w:rPr>
        <w:t>B</w:t>
      </w:r>
      <w:r w:rsidRPr="00AB0B5B">
        <w:rPr>
          <w:rFonts w:ascii="Gellix" w:hAnsi="Gellix"/>
          <w:sz w:val="22"/>
          <w:szCs w:val="22"/>
        </w:rPr>
        <w:t xml:space="preserve">/DFI and private </w:t>
      </w:r>
      <w:r w:rsidR="00540833" w:rsidRPr="00AB0B5B">
        <w:rPr>
          <w:rFonts w:ascii="Gellix" w:hAnsi="Gellix"/>
          <w:sz w:val="22"/>
          <w:szCs w:val="22"/>
        </w:rPr>
        <w:t xml:space="preserve">credit enhancement </w:t>
      </w:r>
      <w:r w:rsidR="00E72EEF" w:rsidRPr="00AB0B5B">
        <w:rPr>
          <w:rFonts w:ascii="Gellix" w:hAnsi="Gellix"/>
          <w:sz w:val="22"/>
          <w:szCs w:val="22"/>
        </w:rPr>
        <w:t>tools</w:t>
      </w:r>
      <w:r w:rsidR="008E4F77" w:rsidRPr="00AB0B5B">
        <w:rPr>
          <w:rFonts w:ascii="Gellix" w:hAnsi="Gellix"/>
          <w:sz w:val="22"/>
          <w:szCs w:val="22"/>
        </w:rPr>
        <w:t xml:space="preserve">, including PRI. </w:t>
      </w:r>
      <w:r w:rsidR="0044288A" w:rsidRPr="00AB0B5B">
        <w:rPr>
          <w:rFonts w:ascii="Gellix" w:hAnsi="Gellix"/>
          <w:sz w:val="22"/>
          <w:szCs w:val="22"/>
        </w:rPr>
        <w:t>At a minimum, s</w:t>
      </w:r>
      <w:r w:rsidR="002B3207" w:rsidRPr="00AB0B5B">
        <w:rPr>
          <w:rFonts w:ascii="Gellix" w:hAnsi="Gellix"/>
          <w:sz w:val="22"/>
          <w:szCs w:val="22"/>
        </w:rPr>
        <w:t xml:space="preserve">uch guidance should allow </w:t>
      </w:r>
      <w:r w:rsidRPr="00AB0B5B">
        <w:rPr>
          <w:rFonts w:ascii="Gellix" w:hAnsi="Gellix"/>
          <w:sz w:val="22"/>
          <w:szCs w:val="22"/>
        </w:rPr>
        <w:t>guarantees or insurance to qualify if exclusions are:</w:t>
      </w:r>
      <w:r w:rsidR="00D96844" w:rsidRPr="00AB0B5B">
        <w:rPr>
          <w:rFonts w:ascii="Gellix" w:hAnsi="Gellix"/>
          <w:sz w:val="22"/>
          <w:szCs w:val="22"/>
        </w:rPr>
        <w:t xml:space="preserve"> s</w:t>
      </w:r>
      <w:r w:rsidRPr="00AB0B5B">
        <w:rPr>
          <w:rFonts w:ascii="Gellix" w:hAnsi="Gellix"/>
          <w:sz w:val="22"/>
          <w:szCs w:val="22"/>
        </w:rPr>
        <w:t>tandard market practice (e.g. nuclear or war clauses)</w:t>
      </w:r>
      <w:r w:rsidR="00D96844" w:rsidRPr="00AB0B5B">
        <w:rPr>
          <w:rFonts w:ascii="Gellix" w:hAnsi="Gellix"/>
          <w:sz w:val="22"/>
          <w:szCs w:val="22"/>
        </w:rPr>
        <w:t>; and s</w:t>
      </w:r>
      <w:r w:rsidRPr="00AB0B5B">
        <w:rPr>
          <w:rFonts w:ascii="Gellix" w:hAnsi="Gellix"/>
          <w:sz w:val="22"/>
          <w:szCs w:val="22"/>
        </w:rPr>
        <w:t>tatistically remote or immaterial to the exposure in question.</w:t>
      </w:r>
    </w:p>
    <w:p w14:paraId="3253A271" w14:textId="28545C55" w:rsidR="008E0C73" w:rsidRPr="00AB0B5B" w:rsidRDefault="0062440B" w:rsidP="00076A29">
      <w:pPr>
        <w:numPr>
          <w:ilvl w:val="0"/>
          <w:numId w:val="10"/>
        </w:numPr>
        <w:ind w:left="714" w:hanging="357"/>
        <w:rPr>
          <w:rFonts w:ascii="Gellix" w:hAnsi="Gellix"/>
          <w:sz w:val="22"/>
          <w:szCs w:val="22"/>
        </w:rPr>
      </w:pPr>
      <w:r w:rsidRPr="00AB0B5B">
        <w:rPr>
          <w:rFonts w:ascii="Gellix" w:hAnsi="Gellix"/>
          <w:b/>
          <w:bCs/>
          <w:sz w:val="22"/>
          <w:szCs w:val="22"/>
        </w:rPr>
        <w:t>Clarify</w:t>
      </w:r>
      <w:r w:rsidR="00610B31" w:rsidRPr="00AB0B5B">
        <w:rPr>
          <w:rFonts w:ascii="Gellix" w:hAnsi="Gellix"/>
          <w:b/>
          <w:bCs/>
          <w:sz w:val="22"/>
          <w:szCs w:val="22"/>
        </w:rPr>
        <w:t>ing</w:t>
      </w:r>
      <w:r w:rsidRPr="00AB0B5B">
        <w:rPr>
          <w:rFonts w:ascii="Gellix" w:hAnsi="Gellix"/>
          <w:b/>
          <w:bCs/>
          <w:sz w:val="22"/>
          <w:szCs w:val="22"/>
        </w:rPr>
        <w:t xml:space="preserve"> time limits for credit risk mitigants</w:t>
      </w:r>
      <w:r w:rsidRPr="00AB0B5B">
        <w:rPr>
          <w:rFonts w:ascii="Gellix" w:hAnsi="Gellix"/>
          <w:sz w:val="22"/>
          <w:szCs w:val="22"/>
        </w:rPr>
        <w:t xml:space="preserve"> by recognizing that contracts with defined arbitration periods (e.g. under 180 days) </w:t>
      </w:r>
      <w:r w:rsidR="00055796" w:rsidRPr="00AB0B5B">
        <w:rPr>
          <w:rFonts w:ascii="Gellix" w:hAnsi="Gellix"/>
          <w:sz w:val="22"/>
          <w:szCs w:val="22"/>
        </w:rPr>
        <w:t>or subject to the</w:t>
      </w:r>
      <w:r w:rsidRPr="00AB0B5B">
        <w:rPr>
          <w:rFonts w:ascii="Gellix" w:hAnsi="Gellix"/>
          <w:sz w:val="22"/>
          <w:szCs w:val="22"/>
        </w:rPr>
        <w:t xml:space="preserve"> established claims procedures of MDBs/DFIs can provide functionally timely payouts and should qualify for capital relief.</w:t>
      </w:r>
    </w:p>
    <w:p w14:paraId="39277380" w14:textId="42877415" w:rsidR="00055796" w:rsidRPr="00AB0B5B" w:rsidRDefault="00045613" w:rsidP="00076A29">
      <w:pPr>
        <w:numPr>
          <w:ilvl w:val="0"/>
          <w:numId w:val="10"/>
        </w:numPr>
        <w:ind w:left="714" w:hanging="357"/>
        <w:rPr>
          <w:rFonts w:ascii="Gellix" w:hAnsi="Gellix"/>
          <w:sz w:val="22"/>
          <w:szCs w:val="22"/>
        </w:rPr>
      </w:pPr>
      <w:r w:rsidRPr="00AB0B5B">
        <w:rPr>
          <w:rFonts w:ascii="Gellix" w:hAnsi="Gellix"/>
          <w:b/>
          <w:bCs/>
          <w:sz w:val="22"/>
          <w:szCs w:val="22"/>
        </w:rPr>
        <w:t xml:space="preserve">Allowing </w:t>
      </w:r>
      <w:r w:rsidR="000C4B8C" w:rsidRPr="00AB0B5B">
        <w:rPr>
          <w:rFonts w:ascii="Gellix" w:hAnsi="Gellix"/>
          <w:b/>
          <w:bCs/>
          <w:sz w:val="22"/>
          <w:szCs w:val="22"/>
        </w:rPr>
        <w:t>the application of blended risk weights to</w:t>
      </w:r>
      <w:r w:rsidR="005B35F4" w:rsidRPr="00AB0B5B">
        <w:rPr>
          <w:rFonts w:ascii="Gellix" w:hAnsi="Gellix"/>
          <w:b/>
          <w:bCs/>
          <w:sz w:val="22"/>
          <w:szCs w:val="22"/>
        </w:rPr>
        <w:t xml:space="preserve"> exposures covered by </w:t>
      </w:r>
      <w:r w:rsidR="00AF51A9" w:rsidRPr="00AB0B5B">
        <w:rPr>
          <w:rFonts w:ascii="Gellix" w:hAnsi="Gellix"/>
          <w:b/>
          <w:bCs/>
          <w:sz w:val="22"/>
          <w:szCs w:val="22"/>
        </w:rPr>
        <w:t>partial guarantees</w:t>
      </w:r>
      <w:r w:rsidR="00AF51A9" w:rsidRPr="00AB0B5B">
        <w:rPr>
          <w:rFonts w:ascii="Gellix" w:hAnsi="Gellix"/>
          <w:sz w:val="22"/>
          <w:szCs w:val="22"/>
        </w:rPr>
        <w:t xml:space="preserve"> </w:t>
      </w:r>
      <w:r w:rsidR="00750126" w:rsidRPr="00AB0B5B">
        <w:rPr>
          <w:rFonts w:ascii="Gellix" w:hAnsi="Gellix"/>
          <w:sz w:val="22"/>
          <w:szCs w:val="22"/>
        </w:rPr>
        <w:t xml:space="preserve">to </w:t>
      </w:r>
      <w:r w:rsidR="00FF744A" w:rsidRPr="00AB0B5B">
        <w:rPr>
          <w:rFonts w:ascii="Gellix" w:hAnsi="Gellix"/>
          <w:sz w:val="22"/>
          <w:szCs w:val="22"/>
        </w:rPr>
        <w:t>reflect th</w:t>
      </w:r>
      <w:r w:rsidR="00610B31" w:rsidRPr="00AB0B5B">
        <w:rPr>
          <w:rFonts w:ascii="Gellix" w:hAnsi="Gellix"/>
          <w:sz w:val="22"/>
          <w:szCs w:val="22"/>
        </w:rPr>
        <w:t xml:space="preserve">e real risk reduction offered by these tools. </w:t>
      </w:r>
    </w:p>
    <w:p w14:paraId="49D1431C" w14:textId="056CC753" w:rsidR="00400E29" w:rsidRPr="00AB0B5B" w:rsidRDefault="00D16688" w:rsidP="00076A29">
      <w:pPr>
        <w:numPr>
          <w:ilvl w:val="0"/>
          <w:numId w:val="10"/>
        </w:numPr>
        <w:ind w:left="714" w:hanging="357"/>
        <w:rPr>
          <w:rFonts w:ascii="Gellix" w:hAnsi="Gellix"/>
          <w:sz w:val="22"/>
          <w:szCs w:val="22"/>
        </w:rPr>
      </w:pPr>
      <w:r w:rsidRPr="00AB0B5B">
        <w:rPr>
          <w:rFonts w:ascii="Gellix" w:hAnsi="Gellix"/>
          <w:b/>
          <w:bCs/>
          <w:sz w:val="22"/>
          <w:szCs w:val="22"/>
        </w:rPr>
        <w:t>Allow</w:t>
      </w:r>
      <w:r w:rsidR="00A06962" w:rsidRPr="00AB0B5B">
        <w:rPr>
          <w:rFonts w:ascii="Gellix" w:hAnsi="Gellix"/>
          <w:b/>
          <w:bCs/>
          <w:sz w:val="22"/>
          <w:szCs w:val="22"/>
        </w:rPr>
        <w:t>ing</w:t>
      </w:r>
      <w:r w:rsidRPr="00AB0B5B">
        <w:rPr>
          <w:rFonts w:ascii="Gellix" w:hAnsi="Gellix"/>
          <w:b/>
          <w:bCs/>
          <w:sz w:val="22"/>
          <w:szCs w:val="22"/>
        </w:rPr>
        <w:t xml:space="preserve"> for automatic r</w:t>
      </w:r>
      <w:r w:rsidR="00A04A19" w:rsidRPr="00AB0B5B">
        <w:rPr>
          <w:rFonts w:ascii="Gellix" w:hAnsi="Gellix"/>
          <w:b/>
          <w:bCs/>
          <w:sz w:val="22"/>
          <w:szCs w:val="22"/>
        </w:rPr>
        <w:t>ecogni</w:t>
      </w:r>
      <w:r w:rsidRPr="00AB0B5B">
        <w:rPr>
          <w:rFonts w:ascii="Gellix" w:hAnsi="Gellix"/>
          <w:b/>
          <w:bCs/>
          <w:sz w:val="22"/>
          <w:szCs w:val="22"/>
        </w:rPr>
        <w:t>tion of</w:t>
      </w:r>
      <w:r w:rsidR="00A04A19" w:rsidRPr="00AB0B5B">
        <w:rPr>
          <w:rFonts w:ascii="Gellix" w:hAnsi="Gellix"/>
          <w:b/>
          <w:bCs/>
          <w:sz w:val="22"/>
          <w:szCs w:val="22"/>
        </w:rPr>
        <w:t xml:space="preserve"> </w:t>
      </w:r>
      <w:r w:rsidR="00051B8F" w:rsidRPr="00AB0B5B">
        <w:rPr>
          <w:rFonts w:ascii="Gellix" w:hAnsi="Gellix"/>
          <w:b/>
          <w:bCs/>
          <w:sz w:val="22"/>
          <w:szCs w:val="22"/>
        </w:rPr>
        <w:t xml:space="preserve">credit enhancements provided by all </w:t>
      </w:r>
      <w:r w:rsidRPr="00AB0B5B">
        <w:rPr>
          <w:rFonts w:ascii="Gellix" w:hAnsi="Gellix"/>
          <w:b/>
          <w:bCs/>
          <w:sz w:val="22"/>
          <w:szCs w:val="22"/>
        </w:rPr>
        <w:t>MDBs</w:t>
      </w:r>
      <w:r w:rsidR="006223DB" w:rsidRPr="00AB0B5B">
        <w:rPr>
          <w:rFonts w:ascii="Gellix" w:hAnsi="Gellix"/>
          <w:b/>
          <w:bCs/>
          <w:sz w:val="22"/>
          <w:szCs w:val="22"/>
        </w:rPr>
        <w:t>/DFIs</w:t>
      </w:r>
      <w:r w:rsidRPr="00AB0B5B">
        <w:rPr>
          <w:rFonts w:ascii="Gellix" w:hAnsi="Gellix"/>
          <w:sz w:val="22"/>
          <w:szCs w:val="22"/>
        </w:rPr>
        <w:t xml:space="preserve"> with</w:t>
      </w:r>
      <w:r w:rsidR="006223DB" w:rsidRPr="00AB0B5B">
        <w:rPr>
          <w:rFonts w:ascii="Gellix" w:hAnsi="Gellix"/>
          <w:sz w:val="22"/>
          <w:szCs w:val="22"/>
        </w:rPr>
        <w:t xml:space="preserve"> credit ratings at or above </w:t>
      </w:r>
      <w:r w:rsidR="00400E29" w:rsidRPr="00AB0B5B">
        <w:rPr>
          <w:rFonts w:ascii="Gellix" w:hAnsi="Gellix"/>
          <w:sz w:val="22"/>
          <w:szCs w:val="22"/>
        </w:rPr>
        <w:t xml:space="preserve">AA-. </w:t>
      </w:r>
    </w:p>
    <w:p w14:paraId="6AECA310" w14:textId="60F6E13F" w:rsidR="007A6420" w:rsidRPr="00AB0B5B" w:rsidRDefault="009F2D5B" w:rsidP="00076A29">
      <w:pPr>
        <w:numPr>
          <w:ilvl w:val="0"/>
          <w:numId w:val="10"/>
        </w:numPr>
        <w:ind w:left="714" w:hanging="357"/>
        <w:rPr>
          <w:rFonts w:ascii="Gellix" w:hAnsi="Gellix"/>
          <w:sz w:val="22"/>
          <w:szCs w:val="22"/>
        </w:rPr>
      </w:pPr>
      <w:r w:rsidRPr="00AB0B5B">
        <w:rPr>
          <w:rFonts w:ascii="Gellix" w:hAnsi="Gellix"/>
          <w:sz w:val="22"/>
          <w:szCs w:val="22"/>
        </w:rPr>
        <w:t>P</w:t>
      </w:r>
      <w:r w:rsidRPr="00AB0B5B">
        <w:rPr>
          <w:rFonts w:ascii="Gellix" w:hAnsi="Gellix"/>
          <w:b/>
          <w:bCs/>
          <w:sz w:val="22"/>
          <w:szCs w:val="22"/>
        </w:rPr>
        <w:t>rovid</w:t>
      </w:r>
      <w:r w:rsidR="00051B8F" w:rsidRPr="00AB0B5B">
        <w:rPr>
          <w:rFonts w:ascii="Gellix" w:hAnsi="Gellix"/>
          <w:b/>
          <w:bCs/>
          <w:sz w:val="22"/>
          <w:szCs w:val="22"/>
        </w:rPr>
        <w:t>ing</w:t>
      </w:r>
      <w:r w:rsidRPr="00AB0B5B">
        <w:rPr>
          <w:rFonts w:ascii="Gellix" w:hAnsi="Gellix"/>
          <w:b/>
          <w:bCs/>
          <w:sz w:val="22"/>
          <w:szCs w:val="22"/>
        </w:rPr>
        <w:t xml:space="preserve"> clear guidance on the treatment of borrower-level risk mitigants</w:t>
      </w:r>
      <w:r w:rsidRPr="00AB0B5B">
        <w:rPr>
          <w:rFonts w:ascii="Gellix" w:hAnsi="Gellix"/>
          <w:sz w:val="22"/>
          <w:szCs w:val="22"/>
        </w:rPr>
        <w:t xml:space="preserve"> in project finance </w:t>
      </w:r>
      <w:r w:rsidR="00253AA2" w:rsidRPr="00AB0B5B">
        <w:rPr>
          <w:rFonts w:ascii="Gellix" w:hAnsi="Gellix"/>
          <w:sz w:val="22"/>
          <w:szCs w:val="22"/>
        </w:rPr>
        <w:t>transactions</w:t>
      </w:r>
      <w:r w:rsidR="00E14650" w:rsidRPr="00AB0B5B">
        <w:rPr>
          <w:rFonts w:ascii="Gellix" w:hAnsi="Gellix"/>
          <w:sz w:val="22"/>
          <w:szCs w:val="22"/>
        </w:rPr>
        <w:t xml:space="preserve"> </w:t>
      </w:r>
      <w:r w:rsidR="00B351DB" w:rsidRPr="00AB0B5B">
        <w:rPr>
          <w:rFonts w:ascii="Gellix" w:hAnsi="Gellix"/>
          <w:sz w:val="22"/>
          <w:szCs w:val="22"/>
        </w:rPr>
        <w:t>(both during pre-</w:t>
      </w:r>
      <w:r w:rsidR="001D65CE" w:rsidRPr="00AB0B5B">
        <w:rPr>
          <w:rFonts w:ascii="Gellix" w:hAnsi="Gellix"/>
          <w:sz w:val="22"/>
          <w:szCs w:val="22"/>
        </w:rPr>
        <w:t>operation</w:t>
      </w:r>
      <w:r w:rsidR="00B351DB" w:rsidRPr="00AB0B5B">
        <w:rPr>
          <w:rFonts w:ascii="Gellix" w:hAnsi="Gellix"/>
          <w:sz w:val="22"/>
          <w:szCs w:val="22"/>
        </w:rPr>
        <w:t xml:space="preserve"> and operational phases) </w:t>
      </w:r>
      <w:r w:rsidR="00E14650" w:rsidRPr="00AB0B5B">
        <w:rPr>
          <w:rFonts w:ascii="Gellix" w:hAnsi="Gellix"/>
          <w:sz w:val="22"/>
          <w:szCs w:val="22"/>
        </w:rPr>
        <w:t>– including interest rate or currency hedging, purchase agreements, reserve accounts and performance bonds</w:t>
      </w:r>
      <w:r w:rsidR="0089073E" w:rsidRPr="00AB0B5B">
        <w:rPr>
          <w:rFonts w:ascii="Gellix" w:hAnsi="Gellix"/>
          <w:sz w:val="22"/>
          <w:szCs w:val="22"/>
        </w:rPr>
        <w:t xml:space="preserve">. </w:t>
      </w:r>
    </w:p>
    <w:p w14:paraId="12223A64" w14:textId="5FF6DDA0" w:rsidR="001D65CE" w:rsidRPr="00AB0B5B" w:rsidRDefault="001D65CE" w:rsidP="00C6643B">
      <w:pPr>
        <w:spacing w:after="120"/>
        <w:rPr>
          <w:rFonts w:ascii="Gellix" w:hAnsi="Gellix"/>
          <w:b/>
          <w:bCs/>
          <w:sz w:val="22"/>
          <w:szCs w:val="22"/>
        </w:rPr>
      </w:pPr>
      <w:r w:rsidRPr="00AB0B5B">
        <w:rPr>
          <w:rFonts w:ascii="Gellix" w:hAnsi="Gellix"/>
          <w:b/>
          <w:bCs/>
          <w:sz w:val="22"/>
          <w:szCs w:val="22"/>
        </w:rPr>
        <w:lastRenderedPageBreak/>
        <w:t xml:space="preserve">Step 2: </w:t>
      </w:r>
      <w:r w:rsidR="00C6643B" w:rsidRPr="00AB0B5B">
        <w:rPr>
          <w:rFonts w:ascii="Gellix" w:hAnsi="Gellix"/>
          <w:b/>
          <w:bCs/>
          <w:sz w:val="22"/>
          <w:szCs w:val="22"/>
        </w:rPr>
        <w:t>S</w:t>
      </w:r>
      <w:r w:rsidRPr="00AB0B5B">
        <w:rPr>
          <w:rFonts w:ascii="Gellix" w:hAnsi="Gellix"/>
          <w:b/>
          <w:bCs/>
          <w:sz w:val="22"/>
          <w:szCs w:val="22"/>
        </w:rPr>
        <w:t xml:space="preserve">tructural reforms </w:t>
      </w:r>
    </w:p>
    <w:p w14:paraId="78ED4DD2" w14:textId="7271B150" w:rsidR="007A6420" w:rsidRPr="00AB0B5B" w:rsidRDefault="00410D5A" w:rsidP="00DC4D51">
      <w:pPr>
        <w:rPr>
          <w:rFonts w:ascii="Gellix" w:hAnsi="Gellix"/>
          <w:sz w:val="22"/>
          <w:szCs w:val="22"/>
        </w:rPr>
      </w:pPr>
      <w:r w:rsidRPr="00AB0B5B">
        <w:rPr>
          <w:rFonts w:ascii="Gellix" w:hAnsi="Gellix"/>
          <w:sz w:val="22"/>
          <w:szCs w:val="22"/>
        </w:rPr>
        <w:t xml:space="preserve">Building on these initial measures, we recommend that </w:t>
      </w:r>
      <w:r w:rsidR="0095520A" w:rsidRPr="00AB0B5B">
        <w:rPr>
          <w:rFonts w:ascii="Gellix" w:hAnsi="Gellix"/>
          <w:sz w:val="22"/>
          <w:szCs w:val="22"/>
        </w:rPr>
        <w:t xml:space="preserve">Basel Committee is mandated to establish </w:t>
      </w:r>
      <w:r w:rsidR="00504B5E" w:rsidRPr="00AB0B5B">
        <w:rPr>
          <w:rFonts w:ascii="Gellix" w:hAnsi="Gellix"/>
          <w:sz w:val="22"/>
          <w:szCs w:val="22"/>
        </w:rPr>
        <w:t>new work programs to</w:t>
      </w:r>
      <w:r w:rsidR="00C87390" w:rsidRPr="00AB0B5B">
        <w:rPr>
          <w:rFonts w:ascii="Gellix" w:hAnsi="Gellix"/>
          <w:sz w:val="22"/>
          <w:szCs w:val="22"/>
        </w:rPr>
        <w:t xml:space="preserve">: </w:t>
      </w:r>
      <w:r w:rsidR="00504B5E" w:rsidRPr="00AB0B5B">
        <w:rPr>
          <w:rFonts w:ascii="Gellix" w:hAnsi="Gellix"/>
          <w:sz w:val="22"/>
          <w:szCs w:val="22"/>
        </w:rPr>
        <w:t xml:space="preserve"> </w:t>
      </w:r>
    </w:p>
    <w:p w14:paraId="292C3970" w14:textId="61078791" w:rsidR="00076A29" w:rsidRPr="00AB0B5B" w:rsidRDefault="00410D5A" w:rsidP="00C41000">
      <w:pPr>
        <w:numPr>
          <w:ilvl w:val="0"/>
          <w:numId w:val="14"/>
        </w:numPr>
        <w:rPr>
          <w:rFonts w:ascii="Gellix" w:hAnsi="Gellix"/>
          <w:sz w:val="22"/>
          <w:szCs w:val="22"/>
        </w:rPr>
      </w:pPr>
      <w:r w:rsidRPr="00AB0B5B">
        <w:rPr>
          <w:rFonts w:ascii="Gellix" w:hAnsi="Gellix"/>
          <w:b/>
          <w:bCs/>
          <w:sz w:val="22"/>
          <w:szCs w:val="22"/>
        </w:rPr>
        <w:t>Re</w:t>
      </w:r>
      <w:r w:rsidR="00C87390" w:rsidRPr="00AB0B5B">
        <w:rPr>
          <w:rFonts w:ascii="Gellix" w:hAnsi="Gellix"/>
          <w:b/>
          <w:bCs/>
          <w:sz w:val="22"/>
          <w:szCs w:val="22"/>
        </w:rPr>
        <w:t xml:space="preserve">fine the </w:t>
      </w:r>
      <w:r w:rsidRPr="00AB0B5B">
        <w:rPr>
          <w:rFonts w:ascii="Gellix" w:hAnsi="Gellix"/>
          <w:b/>
          <w:bCs/>
          <w:sz w:val="22"/>
          <w:szCs w:val="22"/>
        </w:rPr>
        <w:t>treatment of project finance</w:t>
      </w:r>
      <w:r w:rsidRPr="00AB0B5B">
        <w:rPr>
          <w:rFonts w:ascii="Gellix" w:hAnsi="Gellix"/>
          <w:sz w:val="22"/>
          <w:szCs w:val="22"/>
        </w:rPr>
        <w:t xml:space="preserve"> to reflect its proven performance</w:t>
      </w:r>
      <w:r w:rsidR="00C87390" w:rsidRPr="00AB0B5B">
        <w:rPr>
          <w:rFonts w:ascii="Gellix" w:hAnsi="Gellix"/>
          <w:sz w:val="22"/>
          <w:szCs w:val="22"/>
        </w:rPr>
        <w:t xml:space="preserve"> based on available market data</w:t>
      </w:r>
      <w:r w:rsidR="00C77D2A" w:rsidRPr="00AB0B5B">
        <w:rPr>
          <w:rFonts w:ascii="Gellix" w:hAnsi="Gellix"/>
          <w:sz w:val="22"/>
          <w:szCs w:val="22"/>
        </w:rPr>
        <w:t>; i</w:t>
      </w:r>
      <w:r w:rsidR="00551C89" w:rsidRPr="00AB0B5B">
        <w:rPr>
          <w:rFonts w:ascii="Gellix" w:hAnsi="Gellix"/>
          <w:sz w:val="22"/>
          <w:szCs w:val="22"/>
        </w:rPr>
        <w:t xml:space="preserve">ntroduce dynamic risk weights that adjust over </w:t>
      </w:r>
      <w:r w:rsidR="008E2916" w:rsidRPr="00AB0B5B">
        <w:rPr>
          <w:rFonts w:ascii="Gellix" w:hAnsi="Gellix"/>
          <w:sz w:val="22"/>
          <w:szCs w:val="22"/>
        </w:rPr>
        <w:t>a</w:t>
      </w:r>
      <w:r w:rsidR="00551C89" w:rsidRPr="00AB0B5B">
        <w:rPr>
          <w:rFonts w:ascii="Gellix" w:hAnsi="Gellix"/>
          <w:sz w:val="22"/>
          <w:szCs w:val="22"/>
        </w:rPr>
        <w:t xml:space="preserve"> project</w:t>
      </w:r>
      <w:r w:rsidR="008E2916" w:rsidRPr="00AB0B5B">
        <w:rPr>
          <w:rFonts w:ascii="Gellix" w:hAnsi="Gellix"/>
          <w:sz w:val="22"/>
          <w:szCs w:val="22"/>
        </w:rPr>
        <w:t>’s</w:t>
      </w:r>
      <w:r w:rsidR="00551C89" w:rsidRPr="00AB0B5B">
        <w:rPr>
          <w:rFonts w:ascii="Gellix" w:hAnsi="Gellix"/>
          <w:sz w:val="22"/>
          <w:szCs w:val="22"/>
        </w:rPr>
        <w:t xml:space="preserve"> lifecycle </w:t>
      </w:r>
      <w:r w:rsidR="00D5347D" w:rsidRPr="00AB0B5B">
        <w:rPr>
          <w:rFonts w:ascii="Gellix" w:hAnsi="Gellix"/>
          <w:sz w:val="22"/>
          <w:szCs w:val="22"/>
        </w:rPr>
        <w:t>(</w:t>
      </w:r>
      <w:r w:rsidR="00551C89" w:rsidRPr="00AB0B5B">
        <w:rPr>
          <w:rFonts w:ascii="Gellix" w:hAnsi="Gellix"/>
          <w:sz w:val="22"/>
          <w:szCs w:val="22"/>
        </w:rPr>
        <w:t>particularly between pre-operation and operational phases</w:t>
      </w:r>
      <w:r w:rsidR="00D5347D" w:rsidRPr="00AB0B5B">
        <w:rPr>
          <w:rFonts w:ascii="Gellix" w:hAnsi="Gellix"/>
          <w:sz w:val="22"/>
          <w:szCs w:val="22"/>
        </w:rPr>
        <w:t>)</w:t>
      </w:r>
      <w:r w:rsidR="00C77D2A" w:rsidRPr="00AB0B5B">
        <w:rPr>
          <w:rFonts w:ascii="Gellix" w:hAnsi="Gellix"/>
          <w:sz w:val="22"/>
          <w:szCs w:val="22"/>
        </w:rPr>
        <w:t>; and c</w:t>
      </w:r>
      <w:r w:rsidR="00551C89" w:rsidRPr="00AB0B5B">
        <w:rPr>
          <w:rFonts w:ascii="Gellix" w:hAnsi="Gellix"/>
          <w:sz w:val="22"/>
          <w:szCs w:val="22"/>
        </w:rPr>
        <w:t>onsider recognizing project finance as a distinct asset class within the prudential framework.</w:t>
      </w:r>
    </w:p>
    <w:p w14:paraId="72FAFD49" w14:textId="2EE08E9E" w:rsidR="00076A29" w:rsidRPr="00AB0B5B" w:rsidRDefault="00381A90" w:rsidP="00C41000">
      <w:pPr>
        <w:numPr>
          <w:ilvl w:val="0"/>
          <w:numId w:val="14"/>
        </w:numPr>
        <w:ind w:left="714" w:hanging="357"/>
        <w:rPr>
          <w:rFonts w:ascii="Gellix" w:hAnsi="Gellix"/>
          <w:sz w:val="22"/>
          <w:szCs w:val="22"/>
        </w:rPr>
      </w:pPr>
      <w:r w:rsidRPr="00AB0B5B">
        <w:rPr>
          <w:rFonts w:ascii="Gellix" w:hAnsi="Gellix"/>
          <w:b/>
          <w:bCs/>
          <w:sz w:val="22"/>
          <w:szCs w:val="22"/>
        </w:rPr>
        <w:t>Re</w:t>
      </w:r>
      <w:r w:rsidR="003D2AD3" w:rsidRPr="00AB0B5B">
        <w:rPr>
          <w:rFonts w:ascii="Gellix" w:hAnsi="Gellix"/>
          <w:b/>
          <w:bCs/>
          <w:sz w:val="22"/>
          <w:szCs w:val="22"/>
        </w:rPr>
        <w:t xml:space="preserve">view </w:t>
      </w:r>
      <w:r w:rsidRPr="00AB0B5B">
        <w:rPr>
          <w:rFonts w:ascii="Gellix" w:hAnsi="Gellix"/>
          <w:b/>
          <w:bCs/>
          <w:sz w:val="22"/>
          <w:szCs w:val="22"/>
        </w:rPr>
        <w:t>Basel’s approach to country risk to better differentiate between sovereign and project-level risk</w:t>
      </w:r>
      <w:r w:rsidRPr="00AB0B5B">
        <w:rPr>
          <w:rFonts w:ascii="Gellix" w:hAnsi="Gellix"/>
          <w:sz w:val="22"/>
          <w:szCs w:val="22"/>
        </w:rPr>
        <w:t xml:space="preserve">. </w:t>
      </w:r>
      <w:r w:rsidR="003D2AD3" w:rsidRPr="00AB0B5B">
        <w:rPr>
          <w:rFonts w:ascii="Gellix" w:hAnsi="Gellix"/>
          <w:sz w:val="22"/>
          <w:szCs w:val="22"/>
        </w:rPr>
        <w:t>This should p</w:t>
      </w:r>
      <w:r w:rsidRPr="00AB0B5B">
        <w:rPr>
          <w:rFonts w:ascii="Gellix" w:hAnsi="Gellix"/>
          <w:sz w:val="22"/>
          <w:szCs w:val="22"/>
        </w:rPr>
        <w:t>ermit risk weight adjustments where exposures are</w:t>
      </w:r>
      <w:r w:rsidR="00DC4EBE" w:rsidRPr="00AB0B5B">
        <w:rPr>
          <w:rFonts w:ascii="Gellix" w:hAnsi="Gellix"/>
          <w:sz w:val="22"/>
          <w:szCs w:val="22"/>
        </w:rPr>
        <w:t xml:space="preserve"> </w:t>
      </w:r>
      <w:r w:rsidR="0024338E" w:rsidRPr="00AB0B5B">
        <w:rPr>
          <w:rFonts w:ascii="Gellix" w:hAnsi="Gellix"/>
          <w:sz w:val="22"/>
          <w:szCs w:val="22"/>
        </w:rPr>
        <w:t xml:space="preserve">highly secure </w:t>
      </w:r>
      <w:r w:rsidR="003C6222" w:rsidRPr="00AB0B5B">
        <w:rPr>
          <w:rFonts w:ascii="Gellix" w:hAnsi="Gellix"/>
          <w:sz w:val="22"/>
          <w:szCs w:val="22"/>
        </w:rPr>
        <w:t xml:space="preserve">or </w:t>
      </w:r>
      <w:r w:rsidRPr="00AB0B5B">
        <w:rPr>
          <w:rFonts w:ascii="Gellix" w:hAnsi="Gellix"/>
          <w:sz w:val="22"/>
          <w:szCs w:val="22"/>
        </w:rPr>
        <w:t>mitigated by credible guarantees</w:t>
      </w:r>
      <w:r w:rsidR="003C6222" w:rsidRPr="00AB0B5B">
        <w:rPr>
          <w:rFonts w:ascii="Gellix" w:hAnsi="Gellix"/>
          <w:sz w:val="22"/>
          <w:szCs w:val="22"/>
        </w:rPr>
        <w:t>/</w:t>
      </w:r>
      <w:r w:rsidRPr="00AB0B5B">
        <w:rPr>
          <w:rFonts w:ascii="Gellix" w:hAnsi="Gellix"/>
          <w:sz w:val="22"/>
          <w:szCs w:val="22"/>
        </w:rPr>
        <w:t xml:space="preserve">involve MDB participation. </w:t>
      </w:r>
    </w:p>
    <w:p w14:paraId="16725AF0" w14:textId="681F6FC0" w:rsidR="003D2AD3" w:rsidRPr="00AB0B5B" w:rsidRDefault="003C6222" w:rsidP="00C41000">
      <w:pPr>
        <w:numPr>
          <w:ilvl w:val="0"/>
          <w:numId w:val="14"/>
        </w:numPr>
        <w:ind w:left="714" w:hanging="357"/>
        <w:rPr>
          <w:rFonts w:ascii="Gellix" w:hAnsi="Gellix"/>
          <w:sz w:val="22"/>
          <w:szCs w:val="22"/>
        </w:rPr>
      </w:pPr>
      <w:r w:rsidRPr="00AB0B5B">
        <w:rPr>
          <w:rFonts w:ascii="Gellix" w:hAnsi="Gellix"/>
          <w:b/>
          <w:bCs/>
          <w:sz w:val="22"/>
          <w:szCs w:val="22"/>
        </w:rPr>
        <w:t xml:space="preserve">Consider the potential introduction of a scaling factor </w:t>
      </w:r>
      <w:r w:rsidR="009608BC" w:rsidRPr="00AB0B5B">
        <w:rPr>
          <w:rFonts w:ascii="Gellix" w:hAnsi="Gellix"/>
          <w:b/>
          <w:bCs/>
          <w:sz w:val="22"/>
          <w:szCs w:val="22"/>
        </w:rPr>
        <w:t>for high-quality</w:t>
      </w:r>
      <w:r w:rsidR="00D5347D" w:rsidRPr="00AB0B5B">
        <w:rPr>
          <w:rFonts w:ascii="Gellix" w:hAnsi="Gellix"/>
          <w:b/>
          <w:bCs/>
          <w:sz w:val="22"/>
          <w:szCs w:val="22"/>
        </w:rPr>
        <w:t>, climate</w:t>
      </w:r>
      <w:r w:rsidR="00252FD7" w:rsidRPr="00AB0B5B">
        <w:rPr>
          <w:rFonts w:ascii="Gellix" w:hAnsi="Gellix"/>
          <w:b/>
          <w:bCs/>
          <w:sz w:val="22"/>
          <w:szCs w:val="22"/>
        </w:rPr>
        <w:t xml:space="preserve">-related </w:t>
      </w:r>
      <w:r w:rsidR="009608BC" w:rsidRPr="00AB0B5B">
        <w:rPr>
          <w:rFonts w:ascii="Gellix" w:hAnsi="Gellix"/>
          <w:b/>
          <w:bCs/>
          <w:sz w:val="22"/>
          <w:szCs w:val="22"/>
        </w:rPr>
        <w:t>investments</w:t>
      </w:r>
      <w:r w:rsidR="00252FD7" w:rsidRPr="00AB0B5B">
        <w:rPr>
          <w:rFonts w:ascii="Gellix" w:hAnsi="Gellix"/>
          <w:b/>
          <w:bCs/>
          <w:sz w:val="22"/>
          <w:szCs w:val="22"/>
        </w:rPr>
        <w:t xml:space="preserve"> in EMDEs</w:t>
      </w:r>
      <w:r w:rsidR="00252FD7" w:rsidRPr="00AB0B5B">
        <w:rPr>
          <w:rFonts w:ascii="Gellix" w:hAnsi="Gellix"/>
          <w:sz w:val="22"/>
          <w:szCs w:val="22"/>
        </w:rPr>
        <w:t xml:space="preserve"> – similar to the </w:t>
      </w:r>
      <w:r w:rsidR="00BC098E" w:rsidRPr="00AB0B5B">
        <w:rPr>
          <w:rFonts w:ascii="Gellix" w:hAnsi="Gellix"/>
          <w:sz w:val="22"/>
          <w:szCs w:val="22"/>
        </w:rPr>
        <w:t xml:space="preserve">existing </w:t>
      </w:r>
      <w:r w:rsidR="005F558E" w:rsidRPr="00AB0B5B">
        <w:rPr>
          <w:rFonts w:ascii="Gellix" w:hAnsi="Gellix"/>
          <w:sz w:val="22"/>
          <w:szCs w:val="22"/>
        </w:rPr>
        <w:t>S</w:t>
      </w:r>
      <w:r w:rsidR="00BC098E" w:rsidRPr="00AB0B5B">
        <w:rPr>
          <w:rFonts w:ascii="Gellix" w:hAnsi="Gellix"/>
          <w:sz w:val="22"/>
          <w:szCs w:val="22"/>
        </w:rPr>
        <w:t xml:space="preserve">upporting </w:t>
      </w:r>
      <w:r w:rsidR="005F558E" w:rsidRPr="00AB0B5B">
        <w:rPr>
          <w:rFonts w:ascii="Gellix" w:hAnsi="Gellix"/>
          <w:sz w:val="22"/>
          <w:szCs w:val="22"/>
        </w:rPr>
        <w:t>F</w:t>
      </w:r>
      <w:r w:rsidR="00BC098E" w:rsidRPr="00AB0B5B">
        <w:rPr>
          <w:rFonts w:ascii="Gellix" w:hAnsi="Gellix"/>
          <w:sz w:val="22"/>
          <w:szCs w:val="22"/>
        </w:rPr>
        <w:t xml:space="preserve">actor for </w:t>
      </w:r>
      <w:r w:rsidR="005F558E" w:rsidRPr="00AB0B5B">
        <w:rPr>
          <w:rFonts w:ascii="Gellix" w:hAnsi="Gellix"/>
          <w:sz w:val="22"/>
          <w:szCs w:val="22"/>
        </w:rPr>
        <w:t>S</w:t>
      </w:r>
      <w:r w:rsidR="00BC098E" w:rsidRPr="00AB0B5B">
        <w:rPr>
          <w:rFonts w:ascii="Gellix" w:hAnsi="Gellix"/>
          <w:sz w:val="22"/>
          <w:szCs w:val="22"/>
        </w:rPr>
        <w:t xml:space="preserve">mall and </w:t>
      </w:r>
      <w:r w:rsidR="005F558E" w:rsidRPr="00AB0B5B">
        <w:rPr>
          <w:rFonts w:ascii="Gellix" w:hAnsi="Gellix"/>
          <w:sz w:val="22"/>
          <w:szCs w:val="22"/>
        </w:rPr>
        <w:t>M</w:t>
      </w:r>
      <w:r w:rsidR="00BC098E" w:rsidRPr="00AB0B5B">
        <w:rPr>
          <w:rFonts w:ascii="Gellix" w:hAnsi="Gellix"/>
          <w:sz w:val="22"/>
          <w:szCs w:val="22"/>
        </w:rPr>
        <w:t>edium-</w:t>
      </w:r>
      <w:r w:rsidR="005F558E" w:rsidRPr="00AB0B5B">
        <w:rPr>
          <w:rFonts w:ascii="Gellix" w:hAnsi="Gellix"/>
          <w:sz w:val="22"/>
          <w:szCs w:val="22"/>
        </w:rPr>
        <w:t>S</w:t>
      </w:r>
      <w:r w:rsidR="00BC098E" w:rsidRPr="00AB0B5B">
        <w:rPr>
          <w:rFonts w:ascii="Gellix" w:hAnsi="Gellix"/>
          <w:sz w:val="22"/>
          <w:szCs w:val="22"/>
        </w:rPr>
        <w:t xml:space="preserve">ized </w:t>
      </w:r>
      <w:r w:rsidR="005F558E" w:rsidRPr="00AB0B5B">
        <w:rPr>
          <w:rFonts w:ascii="Gellix" w:hAnsi="Gellix"/>
          <w:sz w:val="22"/>
          <w:szCs w:val="22"/>
        </w:rPr>
        <w:t>E</w:t>
      </w:r>
      <w:r w:rsidR="00BC098E" w:rsidRPr="00AB0B5B">
        <w:rPr>
          <w:rFonts w:ascii="Gellix" w:hAnsi="Gellix"/>
          <w:sz w:val="22"/>
          <w:szCs w:val="22"/>
        </w:rPr>
        <w:t xml:space="preserve">nterprises under Basel III or the </w:t>
      </w:r>
      <w:r w:rsidR="005F558E" w:rsidRPr="00AB0B5B">
        <w:rPr>
          <w:rFonts w:ascii="Gellix" w:hAnsi="Gellix"/>
          <w:sz w:val="22"/>
          <w:szCs w:val="22"/>
        </w:rPr>
        <w:t xml:space="preserve">Infrastructure Supporting Factor within the European Union’s Capital Requirements Regulation. </w:t>
      </w:r>
    </w:p>
    <w:p w14:paraId="44A3D5FB" w14:textId="0113F785" w:rsidR="00BA54AA" w:rsidRPr="00AB0B5B" w:rsidRDefault="008E2916" w:rsidP="00C41000">
      <w:pPr>
        <w:numPr>
          <w:ilvl w:val="0"/>
          <w:numId w:val="14"/>
        </w:numPr>
        <w:ind w:left="714" w:hanging="357"/>
        <w:rPr>
          <w:rFonts w:ascii="Gellix" w:hAnsi="Gellix"/>
          <w:sz w:val="22"/>
          <w:szCs w:val="22"/>
        </w:rPr>
      </w:pPr>
      <w:r w:rsidRPr="00AB0B5B">
        <w:rPr>
          <w:rFonts w:ascii="Gellix" w:hAnsi="Gellix"/>
          <w:b/>
          <w:bCs/>
          <w:sz w:val="22"/>
          <w:szCs w:val="22"/>
        </w:rPr>
        <w:t xml:space="preserve">Review potential </w:t>
      </w:r>
      <w:r w:rsidR="00A332CA" w:rsidRPr="00AB0B5B">
        <w:rPr>
          <w:rFonts w:ascii="Gellix" w:hAnsi="Gellix"/>
          <w:b/>
          <w:bCs/>
          <w:sz w:val="22"/>
          <w:szCs w:val="22"/>
        </w:rPr>
        <w:t xml:space="preserve">modalities </w:t>
      </w:r>
      <w:r w:rsidRPr="00AB0B5B">
        <w:rPr>
          <w:rFonts w:ascii="Gellix" w:hAnsi="Gellix"/>
          <w:b/>
          <w:bCs/>
          <w:sz w:val="22"/>
          <w:szCs w:val="22"/>
        </w:rPr>
        <w:t>to recognize well-structured blended finance arrangements</w:t>
      </w:r>
      <w:r w:rsidR="00A332CA" w:rsidRPr="00AB0B5B">
        <w:rPr>
          <w:rFonts w:ascii="Gellix" w:hAnsi="Gellix"/>
          <w:sz w:val="22"/>
          <w:szCs w:val="22"/>
        </w:rPr>
        <w:t xml:space="preserve"> – notably</w:t>
      </w:r>
      <w:r w:rsidRPr="00AB0B5B">
        <w:rPr>
          <w:rFonts w:ascii="Gellix" w:hAnsi="Gellix"/>
          <w:sz w:val="22"/>
          <w:szCs w:val="22"/>
        </w:rPr>
        <w:t xml:space="preserve"> those with public or concessional first-loss tranches</w:t>
      </w:r>
      <w:r w:rsidR="00A332CA" w:rsidRPr="00AB0B5B">
        <w:rPr>
          <w:rFonts w:ascii="Gellix" w:hAnsi="Gellix"/>
          <w:sz w:val="22"/>
          <w:szCs w:val="22"/>
        </w:rPr>
        <w:t xml:space="preserve"> – </w:t>
      </w:r>
      <w:r w:rsidRPr="00AB0B5B">
        <w:rPr>
          <w:rFonts w:ascii="Gellix" w:hAnsi="Gellix"/>
          <w:sz w:val="22"/>
          <w:szCs w:val="22"/>
        </w:rPr>
        <w:t xml:space="preserve">as eligible credit risk </w:t>
      </w:r>
      <w:r w:rsidR="00650541" w:rsidRPr="00AB0B5B">
        <w:rPr>
          <w:rFonts w:ascii="Gellix" w:hAnsi="Gellix"/>
          <w:sz w:val="22"/>
          <w:szCs w:val="22"/>
        </w:rPr>
        <w:t>mitigation</w:t>
      </w:r>
      <w:r w:rsidRPr="00AB0B5B">
        <w:rPr>
          <w:rFonts w:ascii="Gellix" w:hAnsi="Gellix"/>
          <w:sz w:val="22"/>
          <w:szCs w:val="22"/>
        </w:rPr>
        <w:t xml:space="preserve"> where they provide transparent and reliable risk absorption.</w:t>
      </w:r>
    </w:p>
    <w:p w14:paraId="1686A66F" w14:textId="1D858140" w:rsidR="00773FEA" w:rsidRDefault="00165E18" w:rsidP="00076A29">
      <w:pPr>
        <w:rPr>
          <w:rFonts w:ascii="Gellix" w:hAnsi="Gellix"/>
          <w:sz w:val="22"/>
          <w:szCs w:val="22"/>
        </w:rPr>
      </w:pPr>
      <w:r>
        <w:rPr>
          <w:rFonts w:ascii="Gellix" w:hAnsi="Gellix"/>
          <w:sz w:val="22"/>
          <w:szCs w:val="22"/>
        </w:rPr>
        <w:t xml:space="preserve">ICC </w:t>
      </w:r>
      <w:r w:rsidR="00A03ACB">
        <w:rPr>
          <w:rFonts w:ascii="Gellix" w:hAnsi="Gellix"/>
          <w:sz w:val="22"/>
          <w:szCs w:val="22"/>
        </w:rPr>
        <w:t>call</w:t>
      </w:r>
      <w:r>
        <w:rPr>
          <w:rFonts w:ascii="Gellix" w:hAnsi="Gellix"/>
          <w:sz w:val="22"/>
          <w:szCs w:val="22"/>
        </w:rPr>
        <w:t>s</w:t>
      </w:r>
      <w:r w:rsidR="00A03ACB">
        <w:rPr>
          <w:rFonts w:ascii="Gellix" w:hAnsi="Gellix"/>
          <w:sz w:val="22"/>
          <w:szCs w:val="22"/>
        </w:rPr>
        <w:t xml:space="preserve"> on</w:t>
      </w:r>
      <w:r w:rsidR="00A03ACB" w:rsidRPr="00A03ACB">
        <w:rPr>
          <w:rFonts w:ascii="Gellix" w:hAnsi="Gellix"/>
          <w:sz w:val="22"/>
          <w:szCs w:val="22"/>
        </w:rPr>
        <w:t xml:space="preserve"> governments and financial standard-setters to initiate a structured dialogue—under the Baku to Belem Roadmap</w:t>
      </w:r>
      <w:r w:rsidR="00B2272D">
        <w:rPr>
          <w:rFonts w:ascii="Gellix" w:hAnsi="Gellix"/>
          <w:sz w:val="22"/>
          <w:szCs w:val="22"/>
        </w:rPr>
        <w:t xml:space="preserve"> at COP30</w:t>
      </w:r>
      <w:r w:rsidR="00A03ACB" w:rsidRPr="00A03ACB">
        <w:rPr>
          <w:rFonts w:ascii="Gellix" w:hAnsi="Gellix"/>
          <w:sz w:val="22"/>
          <w:szCs w:val="22"/>
        </w:rPr>
        <w:t>—with the engagement of the Basel Committee on Banking Supervision, to explore targeted prudential adjustments that can be implemented in the near term. These “quick fixes” can help unlock urgently needed capital flows to EMDEs</w:t>
      </w:r>
      <w:r w:rsidR="00773FEA">
        <w:rPr>
          <w:rFonts w:ascii="Gellix" w:hAnsi="Gellix"/>
          <w:sz w:val="22"/>
          <w:szCs w:val="22"/>
        </w:rPr>
        <w:t xml:space="preserve"> </w:t>
      </w:r>
      <w:r w:rsidR="00773FEA" w:rsidRPr="00AB0B5B">
        <w:rPr>
          <w:rFonts w:ascii="Gellix" w:hAnsi="Gellix"/>
          <w:sz w:val="22"/>
          <w:szCs w:val="22"/>
        </w:rPr>
        <w:t>can unlock the capital needed to meet global climate goals – while ensuring the continued soundness of the global financial system</w:t>
      </w:r>
      <w:r w:rsidR="00A03ACB" w:rsidRPr="00A03ACB">
        <w:rPr>
          <w:rFonts w:ascii="Gellix" w:hAnsi="Gellix"/>
          <w:sz w:val="22"/>
          <w:szCs w:val="22"/>
        </w:rPr>
        <w:t xml:space="preserve">. </w:t>
      </w:r>
    </w:p>
    <w:p w14:paraId="24C99AA4" w14:textId="4B150956" w:rsidR="00773FEA" w:rsidRPr="00CB4ABD" w:rsidRDefault="00165E18" w:rsidP="00076A29">
      <w:pPr>
        <w:rPr>
          <w:rFonts w:ascii="Gellix" w:hAnsi="Gellix"/>
          <w:sz w:val="22"/>
          <w:szCs w:val="22"/>
        </w:rPr>
      </w:pPr>
      <w:r>
        <w:rPr>
          <w:rFonts w:ascii="Gellix" w:hAnsi="Gellix"/>
          <w:sz w:val="22"/>
          <w:szCs w:val="22"/>
        </w:rPr>
        <w:t>We</w:t>
      </w:r>
      <w:r w:rsidR="00A03ACB" w:rsidRPr="00A03ACB">
        <w:rPr>
          <w:rFonts w:ascii="Gellix" w:hAnsi="Gellix"/>
          <w:sz w:val="22"/>
          <w:szCs w:val="22"/>
        </w:rPr>
        <w:t xml:space="preserve"> </w:t>
      </w:r>
      <w:r>
        <w:rPr>
          <w:rFonts w:ascii="Gellix" w:hAnsi="Gellix"/>
          <w:sz w:val="22"/>
          <w:szCs w:val="22"/>
        </w:rPr>
        <w:t xml:space="preserve">further </w:t>
      </w:r>
      <w:r w:rsidR="00A03ACB" w:rsidRPr="00A03ACB">
        <w:rPr>
          <w:rFonts w:ascii="Gellix" w:hAnsi="Gellix"/>
          <w:sz w:val="22"/>
          <w:szCs w:val="22"/>
        </w:rPr>
        <w:t xml:space="preserve">encourage the establishment of a clear pathway for longer-term regulatory reform that aligns capital rules with global climate and development goals. ICC stands ready to support this effort and contribute technical input and private sector </w:t>
      </w:r>
      <w:r w:rsidR="00DF55B3">
        <w:rPr>
          <w:rFonts w:ascii="Gellix" w:hAnsi="Gellix"/>
          <w:sz w:val="22"/>
          <w:szCs w:val="22"/>
        </w:rPr>
        <w:t>expertise</w:t>
      </w:r>
      <w:r w:rsidR="00A03ACB" w:rsidRPr="00A03ACB">
        <w:rPr>
          <w:rFonts w:ascii="Gellix" w:hAnsi="Gellix"/>
          <w:sz w:val="22"/>
          <w:szCs w:val="22"/>
        </w:rPr>
        <w:t xml:space="preserve"> to accelerate progress</w:t>
      </w:r>
      <w:r w:rsidR="00DF55B3">
        <w:rPr>
          <w:rFonts w:ascii="Gellix" w:hAnsi="Gellix"/>
          <w:sz w:val="22"/>
          <w:szCs w:val="22"/>
        </w:rPr>
        <w:t xml:space="preserve"> in this important area</w:t>
      </w:r>
      <w:r w:rsidR="00A03ACB" w:rsidRPr="00A03ACB">
        <w:rPr>
          <w:rFonts w:ascii="Gellix" w:hAnsi="Gellix"/>
          <w:sz w:val="22"/>
          <w:szCs w:val="22"/>
        </w:rPr>
        <w:t>.</w:t>
      </w:r>
    </w:p>
    <w:sectPr w:rsidR="00773FEA" w:rsidRPr="00CB4A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3EAC7" w14:textId="77777777" w:rsidR="00D74FF5" w:rsidRPr="00AB0B5B" w:rsidRDefault="00D74FF5" w:rsidP="00BE0F30">
      <w:pPr>
        <w:spacing w:after="0" w:line="240" w:lineRule="auto"/>
      </w:pPr>
      <w:r w:rsidRPr="00AB0B5B">
        <w:separator/>
      </w:r>
    </w:p>
  </w:endnote>
  <w:endnote w:type="continuationSeparator" w:id="0">
    <w:p w14:paraId="2C090503" w14:textId="77777777" w:rsidR="00D74FF5" w:rsidRPr="00AB0B5B" w:rsidRDefault="00D74FF5" w:rsidP="00BE0F30">
      <w:pPr>
        <w:spacing w:after="0" w:line="240" w:lineRule="auto"/>
      </w:pPr>
      <w:r w:rsidRPr="00AB0B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C613" w14:textId="63921870" w:rsidR="00CB4ABD" w:rsidRPr="00AB0B5B" w:rsidRDefault="00CB4ABD">
    <w:pPr>
      <w:pStyle w:val="Footer"/>
    </w:pPr>
  </w:p>
  <w:p w14:paraId="6D4A5CC3" w14:textId="2E72C4F5" w:rsidR="00CB4ABD" w:rsidRPr="00AB0B5B" w:rsidRDefault="00CB4ABD" w:rsidP="00CB4ABD">
    <w:pPr>
      <w:spacing w:after="0" w:line="276" w:lineRule="auto"/>
      <w:jc w:val="center"/>
      <w:rPr>
        <w:rFonts w:ascii="Gellix" w:eastAsia="ヒラギノ角ゴ Pro W3" w:hAnsi="Gellix" w:cs="Times New Roman"/>
        <w:color w:val="999998"/>
        <w:kern w:val="0"/>
        <w:sz w:val="16"/>
        <w:szCs w:val="16"/>
        <w:lang w:eastAsia="en-US"/>
        <w14:ligatures w14:val="none"/>
      </w:rPr>
    </w:pPr>
    <w:r w:rsidRPr="00AB0B5B">
      <w:rPr>
        <w:rFonts w:ascii="Gellix" w:eastAsia="ヒラギノ角ゴ Pro W3" w:hAnsi="Gellix" w:cs="Times New Roman"/>
        <w:color w:val="999998"/>
        <w:kern w:val="0"/>
        <w:sz w:val="16"/>
        <w:szCs w:val="16"/>
        <w:lang w:eastAsia="en-US"/>
        <w14:ligatures w14:val="none"/>
      </w:rPr>
      <w:t xml:space="preserve">May 2025 | ICC Policy Brief Enhancing Climate Finance in EMDEs | </w:t>
    </w:r>
    <w:r w:rsidRPr="00AB0B5B">
      <w:rPr>
        <w:rFonts w:ascii="Gellix" w:eastAsia="ヒラギノ角ゴ Pro W3" w:hAnsi="Gellix" w:cs="Times New Roman"/>
        <w:b/>
        <w:bCs/>
        <w:color w:val="999998"/>
        <w:kern w:val="0"/>
        <w:sz w:val="16"/>
        <w:szCs w:val="16"/>
        <w:lang w:eastAsia="en-US"/>
        <w14:ligatures w14:val="none"/>
      </w:rPr>
      <w:fldChar w:fldCharType="begin"/>
    </w:r>
    <w:r w:rsidRPr="00AB0B5B">
      <w:rPr>
        <w:rFonts w:ascii="Gellix" w:eastAsia="ヒラギノ角ゴ Pro W3" w:hAnsi="Gellix" w:cs="Times New Roman"/>
        <w:b/>
        <w:bCs/>
        <w:color w:val="999998"/>
        <w:kern w:val="0"/>
        <w:sz w:val="16"/>
        <w:szCs w:val="16"/>
        <w:lang w:eastAsia="en-US"/>
        <w14:ligatures w14:val="none"/>
      </w:rPr>
      <w:instrText xml:space="preserve"> PAGE </w:instrText>
    </w:r>
    <w:r w:rsidRPr="00AB0B5B">
      <w:rPr>
        <w:rFonts w:ascii="Gellix" w:eastAsia="ヒラギノ角ゴ Pro W3" w:hAnsi="Gellix" w:cs="Times New Roman"/>
        <w:b/>
        <w:bCs/>
        <w:color w:val="999998"/>
        <w:kern w:val="0"/>
        <w:sz w:val="16"/>
        <w:szCs w:val="16"/>
        <w:lang w:eastAsia="en-US"/>
        <w14:ligatures w14:val="none"/>
      </w:rPr>
      <w:fldChar w:fldCharType="separate"/>
    </w:r>
    <w:r w:rsidRPr="00AB0B5B">
      <w:rPr>
        <w:rFonts w:ascii="Gellix" w:eastAsia="ヒラギノ角ゴ Pro W3" w:hAnsi="Gellix" w:cs="Times New Roman"/>
        <w:b/>
        <w:bCs/>
        <w:color w:val="999998"/>
        <w:kern w:val="0"/>
        <w:sz w:val="16"/>
        <w:szCs w:val="16"/>
        <w:lang w:eastAsia="en-US"/>
        <w14:ligatures w14:val="none"/>
      </w:rPr>
      <w:t>1</w:t>
    </w:r>
    <w:r w:rsidRPr="00AB0B5B">
      <w:rPr>
        <w:rFonts w:ascii="Gellix" w:eastAsia="ヒラギノ角ゴ Pro W3" w:hAnsi="Gellix" w:cs="Times New Roman"/>
        <w:b/>
        <w:bCs/>
        <w:color w:val="999998"/>
        <w:kern w:val="0"/>
        <w:sz w:val="16"/>
        <w:szCs w:val="16"/>
        <w:lang w:eastAsia="en-US"/>
        <w14:ligatures w14:val="none"/>
      </w:rPr>
      <w:fldChar w:fldCharType="end"/>
    </w:r>
  </w:p>
  <w:p w14:paraId="1D57C529" w14:textId="2E9D8D81" w:rsidR="00CB4ABD" w:rsidRPr="00AB0B5B" w:rsidRDefault="00CB4ABD">
    <w:pPr>
      <w:pStyle w:val="Footer"/>
    </w:pPr>
  </w:p>
  <w:p w14:paraId="30F90A94" w14:textId="77777777" w:rsidR="00CB4ABD" w:rsidRPr="00AB0B5B" w:rsidRDefault="00CB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0C50" w14:textId="77777777" w:rsidR="00D74FF5" w:rsidRPr="00AB0B5B" w:rsidRDefault="00D74FF5" w:rsidP="00BE0F30">
      <w:pPr>
        <w:spacing w:after="0" w:line="240" w:lineRule="auto"/>
      </w:pPr>
      <w:r w:rsidRPr="00AB0B5B">
        <w:separator/>
      </w:r>
    </w:p>
  </w:footnote>
  <w:footnote w:type="continuationSeparator" w:id="0">
    <w:p w14:paraId="0CC8F2AF" w14:textId="77777777" w:rsidR="00D74FF5" w:rsidRPr="00AB0B5B" w:rsidRDefault="00D74FF5" w:rsidP="00BE0F30">
      <w:pPr>
        <w:spacing w:after="0" w:line="240" w:lineRule="auto"/>
      </w:pPr>
      <w:r w:rsidRPr="00AB0B5B">
        <w:continuationSeparator/>
      </w:r>
    </w:p>
  </w:footnote>
  <w:footnote w:id="1">
    <w:p w14:paraId="3BD18440" w14:textId="0249FD7C" w:rsidR="00257E0D" w:rsidRPr="00F95608" w:rsidRDefault="00257E0D">
      <w:pPr>
        <w:pStyle w:val="FootnoteText"/>
        <w:rPr>
          <w:sz w:val="18"/>
          <w:szCs w:val="18"/>
        </w:rPr>
      </w:pPr>
      <w:r w:rsidRPr="00F95608">
        <w:rPr>
          <w:rStyle w:val="FootnoteReference"/>
          <w:sz w:val="18"/>
          <w:szCs w:val="18"/>
        </w:rPr>
        <w:footnoteRef/>
      </w:r>
      <w:r w:rsidRPr="00F95608">
        <w:rPr>
          <w:sz w:val="18"/>
          <w:szCs w:val="18"/>
        </w:rPr>
        <w:t xml:space="preserve"> </w:t>
      </w:r>
      <w:r w:rsidR="00C8367A" w:rsidRPr="00D51BD0">
        <w:t>https://unfccc.int/topics/climate-finance/workstreams/baku-to-belem-roadmap-to-13t</w:t>
      </w:r>
    </w:p>
  </w:footnote>
  <w:footnote w:id="2">
    <w:p w14:paraId="64096F55" w14:textId="3E5831C7" w:rsidR="00E96BF1" w:rsidRPr="00D51BD0" w:rsidRDefault="00E96BF1">
      <w:pPr>
        <w:pStyle w:val="FootnoteText"/>
      </w:pPr>
      <w:r w:rsidRPr="00D51BD0">
        <w:rPr>
          <w:rStyle w:val="FootnoteReference"/>
        </w:rPr>
        <w:footnoteRef/>
      </w:r>
      <w:r w:rsidRPr="00D51BD0">
        <w:t xml:space="preserve"> </w:t>
      </w:r>
      <w:r w:rsidR="00007700" w:rsidRPr="00D51BD0">
        <w:rPr>
          <w:lang w:val="en-GB"/>
        </w:rPr>
        <w:t>Independent High Level Expert Group on Climate Finance (2023)</w:t>
      </w:r>
      <w:r w:rsidR="00D706C6" w:rsidRPr="00D51BD0">
        <w:rPr>
          <w:lang w:val="en-GB"/>
        </w:rPr>
        <w:t xml:space="preserve">: </w:t>
      </w:r>
      <w:r w:rsidR="00007700" w:rsidRPr="00D51BD0">
        <w:rPr>
          <w:lang w:val="en-GB"/>
        </w:rPr>
        <w:t xml:space="preserve">A Climate Finance Framework  </w:t>
      </w:r>
      <w:r w:rsidR="009910A1" w:rsidRPr="00D51BD0">
        <w:t>https://www.lse.ac.uk/granthaminstitute/wp-content/uploads/2023/11/A-Climate-Finance-Framework-IHLEG-Report-2-SUMMARY.pdf</w:t>
      </w:r>
    </w:p>
  </w:footnote>
  <w:footnote w:id="3">
    <w:p w14:paraId="044576B2" w14:textId="2BC4EFF7" w:rsidR="00BE0F30" w:rsidRPr="00D51BD0" w:rsidRDefault="00BE0F30">
      <w:pPr>
        <w:pStyle w:val="FootnoteText"/>
        <w:rPr>
          <w:rFonts w:ascii="Gellix" w:hAnsi="Gellix"/>
        </w:rPr>
      </w:pPr>
      <w:r w:rsidRPr="00D51BD0">
        <w:rPr>
          <w:rStyle w:val="FootnoteReference"/>
          <w:rFonts w:ascii="Gellix" w:hAnsi="Gellix"/>
        </w:rPr>
        <w:footnoteRef/>
      </w:r>
      <w:r w:rsidRPr="00D51BD0">
        <w:rPr>
          <w:rFonts w:ascii="Gellix" w:hAnsi="Gellix"/>
        </w:rPr>
        <w:t xml:space="preserve"> Examples include: GuarantCo (AA-, UK-backed) and the Central American Bank for Economic Integration (AA, S&amp;P).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1A88" w14:textId="788817D4" w:rsidR="00CB4ABD" w:rsidRPr="00F95608" w:rsidRDefault="006D5E84">
    <w:pPr>
      <w:pStyle w:val="Header"/>
      <w:rPr>
        <w:i/>
        <w:iCs/>
      </w:rPr>
    </w:pPr>
    <w:r w:rsidRPr="00F95608">
      <w:rPr>
        <w:i/>
        <w:iCs/>
      </w:rPr>
      <w:t xml:space="preserve">Last edit </w:t>
    </w:r>
    <w:r w:rsidR="00CB4ABD" w:rsidRPr="00F95608">
      <w:rPr>
        <w:i/>
        <w:iCs/>
        <w:noProof/>
      </w:rPr>
      <w:drawing>
        <wp:anchor distT="0" distB="0" distL="114300" distR="114300" simplePos="0" relativeHeight="251658240" behindDoc="1" locked="0" layoutInCell="1" allowOverlap="1" wp14:anchorId="1EDCA20F" wp14:editId="019924A6">
          <wp:simplePos x="0" y="0"/>
          <wp:positionH relativeFrom="column">
            <wp:posOffset>4823926</wp:posOffset>
          </wp:positionH>
          <wp:positionV relativeFrom="paragraph">
            <wp:posOffset>94576</wp:posOffset>
          </wp:positionV>
          <wp:extent cx="1216660" cy="755650"/>
          <wp:effectExtent l="0" t="0" r="2540" b="6350"/>
          <wp:wrapTopAndBottom/>
          <wp:docPr id="824410141" name="Picture 824410141" descr="A blu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9968" name="Picture 143129968" descr="A blu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16660" cy="755650"/>
                  </a:xfrm>
                  <a:prstGeom prst="rect">
                    <a:avLst/>
                  </a:prstGeom>
                </pic:spPr>
              </pic:pic>
            </a:graphicData>
          </a:graphic>
        </wp:anchor>
      </w:drawing>
    </w:r>
    <w:r w:rsidRPr="00F95608">
      <w:rPr>
        <w:i/>
        <w:iCs/>
      </w:rPr>
      <w:t>14 May 2025</w:t>
    </w:r>
  </w:p>
  <w:p w14:paraId="6A353915" w14:textId="77777777" w:rsidR="00CB4ABD" w:rsidRPr="00AB0B5B" w:rsidRDefault="00CB4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487"/>
    <w:multiLevelType w:val="multilevel"/>
    <w:tmpl w:val="60B2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51FE6"/>
    <w:multiLevelType w:val="multilevel"/>
    <w:tmpl w:val="DE9E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62B75"/>
    <w:multiLevelType w:val="hybridMultilevel"/>
    <w:tmpl w:val="B696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76089"/>
    <w:multiLevelType w:val="multilevel"/>
    <w:tmpl w:val="5F7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D3CA2"/>
    <w:multiLevelType w:val="hybridMultilevel"/>
    <w:tmpl w:val="BE6E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E1A2B"/>
    <w:multiLevelType w:val="multilevel"/>
    <w:tmpl w:val="1112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B2718"/>
    <w:multiLevelType w:val="multilevel"/>
    <w:tmpl w:val="1358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F1A5C"/>
    <w:multiLevelType w:val="multilevel"/>
    <w:tmpl w:val="F238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563DD"/>
    <w:multiLevelType w:val="multilevel"/>
    <w:tmpl w:val="1E3AF868"/>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DC6B5D"/>
    <w:multiLevelType w:val="multilevel"/>
    <w:tmpl w:val="18EA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E1D7B"/>
    <w:multiLevelType w:val="multilevel"/>
    <w:tmpl w:val="783E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14E38"/>
    <w:multiLevelType w:val="multilevel"/>
    <w:tmpl w:val="1E3AF868"/>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85815"/>
    <w:multiLevelType w:val="hybridMultilevel"/>
    <w:tmpl w:val="C3704D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606E28"/>
    <w:multiLevelType w:val="multilevel"/>
    <w:tmpl w:val="851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127277">
    <w:abstractNumId w:val="5"/>
  </w:num>
  <w:num w:numId="2" w16cid:durableId="836845553">
    <w:abstractNumId w:val="9"/>
  </w:num>
  <w:num w:numId="3" w16cid:durableId="1039814656">
    <w:abstractNumId w:val="10"/>
  </w:num>
  <w:num w:numId="4" w16cid:durableId="1837530303">
    <w:abstractNumId w:val="3"/>
  </w:num>
  <w:num w:numId="5" w16cid:durableId="1778213849">
    <w:abstractNumId w:val="7"/>
  </w:num>
  <w:num w:numId="6" w16cid:durableId="799568019">
    <w:abstractNumId w:val="13"/>
  </w:num>
  <w:num w:numId="7" w16cid:durableId="794955366">
    <w:abstractNumId w:val="1"/>
  </w:num>
  <w:num w:numId="8" w16cid:durableId="35354374">
    <w:abstractNumId w:val="0"/>
  </w:num>
  <w:num w:numId="9" w16cid:durableId="1806048703">
    <w:abstractNumId w:val="6"/>
  </w:num>
  <w:num w:numId="10" w16cid:durableId="1903590656">
    <w:abstractNumId w:val="11"/>
  </w:num>
  <w:num w:numId="11" w16cid:durableId="1399549539">
    <w:abstractNumId w:val="2"/>
  </w:num>
  <w:num w:numId="12" w16cid:durableId="1982147906">
    <w:abstractNumId w:val="12"/>
  </w:num>
  <w:num w:numId="13" w16cid:durableId="1421757856">
    <w:abstractNumId w:val="4"/>
  </w:num>
  <w:num w:numId="14" w16cid:durableId="1842812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3B"/>
    <w:rsid w:val="000072B2"/>
    <w:rsid w:val="00007700"/>
    <w:rsid w:val="000078DC"/>
    <w:rsid w:val="00013EAC"/>
    <w:rsid w:val="00016622"/>
    <w:rsid w:val="0002602D"/>
    <w:rsid w:val="0004547C"/>
    <w:rsid w:val="00045613"/>
    <w:rsid w:val="00045767"/>
    <w:rsid w:val="00051B8F"/>
    <w:rsid w:val="00055796"/>
    <w:rsid w:val="00055FD8"/>
    <w:rsid w:val="00060143"/>
    <w:rsid w:val="00067C0C"/>
    <w:rsid w:val="00076A29"/>
    <w:rsid w:val="00086F74"/>
    <w:rsid w:val="000871DD"/>
    <w:rsid w:val="000C4B8C"/>
    <w:rsid w:val="000F5AA6"/>
    <w:rsid w:val="00146F68"/>
    <w:rsid w:val="00165E18"/>
    <w:rsid w:val="001736EB"/>
    <w:rsid w:val="00193B67"/>
    <w:rsid w:val="001C4DE4"/>
    <w:rsid w:val="001C510C"/>
    <w:rsid w:val="001D60C3"/>
    <w:rsid w:val="001D65CE"/>
    <w:rsid w:val="001E424D"/>
    <w:rsid w:val="00233F3A"/>
    <w:rsid w:val="0023779B"/>
    <w:rsid w:val="0024338E"/>
    <w:rsid w:val="00252FD7"/>
    <w:rsid w:val="00253AA2"/>
    <w:rsid w:val="00257E0D"/>
    <w:rsid w:val="00265064"/>
    <w:rsid w:val="00285C7E"/>
    <w:rsid w:val="002B30A3"/>
    <w:rsid w:val="002B3207"/>
    <w:rsid w:val="00314F27"/>
    <w:rsid w:val="0034015F"/>
    <w:rsid w:val="00345354"/>
    <w:rsid w:val="003701FB"/>
    <w:rsid w:val="00374A69"/>
    <w:rsid w:val="00381A90"/>
    <w:rsid w:val="003A67E6"/>
    <w:rsid w:val="003B247F"/>
    <w:rsid w:val="003B6DBE"/>
    <w:rsid w:val="003C6222"/>
    <w:rsid w:val="003D2AD3"/>
    <w:rsid w:val="003D4A3E"/>
    <w:rsid w:val="003F31C3"/>
    <w:rsid w:val="00400E29"/>
    <w:rsid w:val="00410D5A"/>
    <w:rsid w:val="004304F8"/>
    <w:rsid w:val="00431916"/>
    <w:rsid w:val="00432439"/>
    <w:rsid w:val="00436B59"/>
    <w:rsid w:val="0044288A"/>
    <w:rsid w:val="004471FD"/>
    <w:rsid w:val="0046017B"/>
    <w:rsid w:val="00461B11"/>
    <w:rsid w:val="004879A4"/>
    <w:rsid w:val="004B3C80"/>
    <w:rsid w:val="004E3495"/>
    <w:rsid w:val="00504B5E"/>
    <w:rsid w:val="00517E70"/>
    <w:rsid w:val="00521A5D"/>
    <w:rsid w:val="00525B88"/>
    <w:rsid w:val="00540833"/>
    <w:rsid w:val="005445C8"/>
    <w:rsid w:val="00551C89"/>
    <w:rsid w:val="0058134A"/>
    <w:rsid w:val="00583845"/>
    <w:rsid w:val="005A394A"/>
    <w:rsid w:val="005A3A2A"/>
    <w:rsid w:val="005B35F4"/>
    <w:rsid w:val="005B53F3"/>
    <w:rsid w:val="005B7826"/>
    <w:rsid w:val="005C2716"/>
    <w:rsid w:val="005E5E87"/>
    <w:rsid w:val="005E7D14"/>
    <w:rsid w:val="005F558E"/>
    <w:rsid w:val="00601E4B"/>
    <w:rsid w:val="006075CF"/>
    <w:rsid w:val="00610B31"/>
    <w:rsid w:val="00613D21"/>
    <w:rsid w:val="006204DA"/>
    <w:rsid w:val="00620D66"/>
    <w:rsid w:val="00622020"/>
    <w:rsid w:val="006223DB"/>
    <w:rsid w:val="00623588"/>
    <w:rsid w:val="0062440B"/>
    <w:rsid w:val="00650541"/>
    <w:rsid w:val="00660F8E"/>
    <w:rsid w:val="00677065"/>
    <w:rsid w:val="006838E7"/>
    <w:rsid w:val="00692728"/>
    <w:rsid w:val="006942CC"/>
    <w:rsid w:val="00694863"/>
    <w:rsid w:val="006A036B"/>
    <w:rsid w:val="006D038B"/>
    <w:rsid w:val="006D5021"/>
    <w:rsid w:val="006D527D"/>
    <w:rsid w:val="006D5E84"/>
    <w:rsid w:val="00714846"/>
    <w:rsid w:val="00716E2B"/>
    <w:rsid w:val="00722502"/>
    <w:rsid w:val="00730001"/>
    <w:rsid w:val="00742CBE"/>
    <w:rsid w:val="00743BFD"/>
    <w:rsid w:val="00750126"/>
    <w:rsid w:val="007622D3"/>
    <w:rsid w:val="00773FEA"/>
    <w:rsid w:val="00774216"/>
    <w:rsid w:val="007756F0"/>
    <w:rsid w:val="00775EDF"/>
    <w:rsid w:val="00783446"/>
    <w:rsid w:val="00790872"/>
    <w:rsid w:val="007934C6"/>
    <w:rsid w:val="007A015E"/>
    <w:rsid w:val="007A6420"/>
    <w:rsid w:val="007C0D38"/>
    <w:rsid w:val="007C5C39"/>
    <w:rsid w:val="007E4F73"/>
    <w:rsid w:val="007E61F7"/>
    <w:rsid w:val="007F2B44"/>
    <w:rsid w:val="00811529"/>
    <w:rsid w:val="00813DD5"/>
    <w:rsid w:val="008239B4"/>
    <w:rsid w:val="00831294"/>
    <w:rsid w:val="00861D3E"/>
    <w:rsid w:val="00877121"/>
    <w:rsid w:val="00877B3B"/>
    <w:rsid w:val="0089073E"/>
    <w:rsid w:val="008A5B8D"/>
    <w:rsid w:val="008E0C73"/>
    <w:rsid w:val="008E2916"/>
    <w:rsid w:val="008E4F77"/>
    <w:rsid w:val="008F7A55"/>
    <w:rsid w:val="00901DB0"/>
    <w:rsid w:val="00914951"/>
    <w:rsid w:val="0095520A"/>
    <w:rsid w:val="009608BC"/>
    <w:rsid w:val="00975795"/>
    <w:rsid w:val="009813D6"/>
    <w:rsid w:val="00984EA9"/>
    <w:rsid w:val="009910A1"/>
    <w:rsid w:val="009B5752"/>
    <w:rsid w:val="009C35F3"/>
    <w:rsid w:val="009D7650"/>
    <w:rsid w:val="009F241C"/>
    <w:rsid w:val="009F2D5B"/>
    <w:rsid w:val="00A03ACB"/>
    <w:rsid w:val="00A04A19"/>
    <w:rsid w:val="00A06962"/>
    <w:rsid w:val="00A235D0"/>
    <w:rsid w:val="00A23F4B"/>
    <w:rsid w:val="00A332CA"/>
    <w:rsid w:val="00A377B5"/>
    <w:rsid w:val="00A46055"/>
    <w:rsid w:val="00A5290A"/>
    <w:rsid w:val="00A64591"/>
    <w:rsid w:val="00A8078B"/>
    <w:rsid w:val="00A81979"/>
    <w:rsid w:val="00A842C1"/>
    <w:rsid w:val="00AB0B5B"/>
    <w:rsid w:val="00AB773F"/>
    <w:rsid w:val="00AD1810"/>
    <w:rsid w:val="00AF51A9"/>
    <w:rsid w:val="00B06AF5"/>
    <w:rsid w:val="00B2272D"/>
    <w:rsid w:val="00B27FAF"/>
    <w:rsid w:val="00B351DB"/>
    <w:rsid w:val="00BA54AA"/>
    <w:rsid w:val="00BC098E"/>
    <w:rsid w:val="00BD4AF2"/>
    <w:rsid w:val="00BE0362"/>
    <w:rsid w:val="00BE0F30"/>
    <w:rsid w:val="00C10BB8"/>
    <w:rsid w:val="00C1377B"/>
    <w:rsid w:val="00C41000"/>
    <w:rsid w:val="00C47561"/>
    <w:rsid w:val="00C53D71"/>
    <w:rsid w:val="00C6643B"/>
    <w:rsid w:val="00C749BD"/>
    <w:rsid w:val="00C74CEB"/>
    <w:rsid w:val="00C77D2A"/>
    <w:rsid w:val="00C8367A"/>
    <w:rsid w:val="00C87390"/>
    <w:rsid w:val="00CA07FB"/>
    <w:rsid w:val="00CA466D"/>
    <w:rsid w:val="00CB4ABD"/>
    <w:rsid w:val="00CB6612"/>
    <w:rsid w:val="00CD6CF8"/>
    <w:rsid w:val="00CE08D6"/>
    <w:rsid w:val="00D16688"/>
    <w:rsid w:val="00D17CCE"/>
    <w:rsid w:val="00D206E3"/>
    <w:rsid w:val="00D30680"/>
    <w:rsid w:val="00D51BD0"/>
    <w:rsid w:val="00D5347D"/>
    <w:rsid w:val="00D6124F"/>
    <w:rsid w:val="00D67F82"/>
    <w:rsid w:val="00D706C6"/>
    <w:rsid w:val="00D74FF5"/>
    <w:rsid w:val="00D96844"/>
    <w:rsid w:val="00DA6A78"/>
    <w:rsid w:val="00DB1177"/>
    <w:rsid w:val="00DC4D51"/>
    <w:rsid w:val="00DC4EBE"/>
    <w:rsid w:val="00DF045A"/>
    <w:rsid w:val="00DF55B3"/>
    <w:rsid w:val="00E04016"/>
    <w:rsid w:val="00E14650"/>
    <w:rsid w:val="00E37A5C"/>
    <w:rsid w:val="00E56089"/>
    <w:rsid w:val="00E72EEF"/>
    <w:rsid w:val="00E730BA"/>
    <w:rsid w:val="00E7768A"/>
    <w:rsid w:val="00E92D67"/>
    <w:rsid w:val="00E95B67"/>
    <w:rsid w:val="00E96BF1"/>
    <w:rsid w:val="00EC4B9B"/>
    <w:rsid w:val="00ED73E1"/>
    <w:rsid w:val="00EE01AE"/>
    <w:rsid w:val="00EE4D52"/>
    <w:rsid w:val="00F36FB2"/>
    <w:rsid w:val="00F4683E"/>
    <w:rsid w:val="00F52D0C"/>
    <w:rsid w:val="00F5330C"/>
    <w:rsid w:val="00F55E43"/>
    <w:rsid w:val="00F64249"/>
    <w:rsid w:val="00F75A7E"/>
    <w:rsid w:val="00F76F22"/>
    <w:rsid w:val="00F95608"/>
    <w:rsid w:val="00FB34D8"/>
    <w:rsid w:val="00FC55B4"/>
    <w:rsid w:val="00FE608D"/>
    <w:rsid w:val="00FF481A"/>
    <w:rsid w:val="00FF5069"/>
    <w:rsid w:val="00FF74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FDFD2"/>
  <w15:chartTrackingRefBased/>
  <w15:docId w15:val="{3D5D129B-A82C-4D7F-8CA5-7073D5DF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77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B3B"/>
    <w:rPr>
      <w:rFonts w:eastAsiaTheme="majorEastAsia" w:cstheme="majorBidi"/>
      <w:color w:val="272727" w:themeColor="text1" w:themeTint="D8"/>
    </w:rPr>
  </w:style>
  <w:style w:type="paragraph" w:styleId="Title">
    <w:name w:val="Title"/>
    <w:basedOn w:val="Normal"/>
    <w:next w:val="Normal"/>
    <w:link w:val="TitleChar"/>
    <w:uiPriority w:val="10"/>
    <w:qFormat/>
    <w:rsid w:val="00877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B3B"/>
    <w:pPr>
      <w:spacing w:before="160"/>
      <w:jc w:val="center"/>
    </w:pPr>
    <w:rPr>
      <w:i/>
      <w:iCs/>
      <w:color w:val="404040" w:themeColor="text1" w:themeTint="BF"/>
    </w:rPr>
  </w:style>
  <w:style w:type="character" w:customStyle="1" w:styleId="QuoteChar">
    <w:name w:val="Quote Char"/>
    <w:basedOn w:val="DefaultParagraphFont"/>
    <w:link w:val="Quote"/>
    <w:uiPriority w:val="29"/>
    <w:rsid w:val="00877B3B"/>
    <w:rPr>
      <w:i/>
      <w:iCs/>
      <w:color w:val="404040" w:themeColor="text1" w:themeTint="BF"/>
    </w:rPr>
  </w:style>
  <w:style w:type="paragraph" w:styleId="ListParagraph">
    <w:name w:val="List Paragraph"/>
    <w:basedOn w:val="Normal"/>
    <w:uiPriority w:val="34"/>
    <w:qFormat/>
    <w:rsid w:val="00877B3B"/>
    <w:pPr>
      <w:ind w:left="720"/>
      <w:contextualSpacing/>
    </w:pPr>
  </w:style>
  <w:style w:type="character" w:styleId="IntenseEmphasis">
    <w:name w:val="Intense Emphasis"/>
    <w:basedOn w:val="DefaultParagraphFont"/>
    <w:uiPriority w:val="21"/>
    <w:qFormat/>
    <w:rsid w:val="00877B3B"/>
    <w:rPr>
      <w:i/>
      <w:iCs/>
      <w:color w:val="0F4761" w:themeColor="accent1" w:themeShade="BF"/>
    </w:rPr>
  </w:style>
  <w:style w:type="paragraph" w:styleId="IntenseQuote">
    <w:name w:val="Intense Quote"/>
    <w:basedOn w:val="Normal"/>
    <w:next w:val="Normal"/>
    <w:link w:val="IntenseQuoteChar"/>
    <w:uiPriority w:val="30"/>
    <w:qFormat/>
    <w:rsid w:val="00877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B3B"/>
    <w:rPr>
      <w:i/>
      <w:iCs/>
      <w:color w:val="0F4761" w:themeColor="accent1" w:themeShade="BF"/>
    </w:rPr>
  </w:style>
  <w:style w:type="character" w:styleId="IntenseReference">
    <w:name w:val="Intense Reference"/>
    <w:basedOn w:val="DefaultParagraphFont"/>
    <w:uiPriority w:val="32"/>
    <w:qFormat/>
    <w:rsid w:val="00877B3B"/>
    <w:rPr>
      <w:b/>
      <w:bCs/>
      <w:smallCaps/>
      <w:color w:val="0F4761" w:themeColor="accent1" w:themeShade="BF"/>
      <w:spacing w:val="5"/>
    </w:rPr>
  </w:style>
  <w:style w:type="paragraph" w:styleId="FootnoteText">
    <w:name w:val="footnote text"/>
    <w:basedOn w:val="Normal"/>
    <w:link w:val="FootnoteTextChar"/>
    <w:uiPriority w:val="99"/>
    <w:semiHidden/>
    <w:unhideWhenUsed/>
    <w:rsid w:val="00BE0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F30"/>
    <w:rPr>
      <w:sz w:val="20"/>
      <w:szCs w:val="20"/>
    </w:rPr>
  </w:style>
  <w:style w:type="character" w:styleId="FootnoteReference">
    <w:name w:val="footnote reference"/>
    <w:basedOn w:val="DefaultParagraphFont"/>
    <w:uiPriority w:val="99"/>
    <w:semiHidden/>
    <w:unhideWhenUsed/>
    <w:rsid w:val="00BE0F30"/>
    <w:rPr>
      <w:vertAlign w:val="superscript"/>
    </w:rPr>
  </w:style>
  <w:style w:type="paragraph" w:styleId="Header">
    <w:name w:val="header"/>
    <w:basedOn w:val="Normal"/>
    <w:link w:val="HeaderChar"/>
    <w:uiPriority w:val="99"/>
    <w:unhideWhenUsed/>
    <w:rsid w:val="0082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B4"/>
  </w:style>
  <w:style w:type="paragraph" w:styleId="Footer">
    <w:name w:val="footer"/>
    <w:basedOn w:val="Normal"/>
    <w:link w:val="FooterChar"/>
    <w:uiPriority w:val="99"/>
    <w:unhideWhenUsed/>
    <w:rsid w:val="0082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B4"/>
  </w:style>
  <w:style w:type="paragraph" w:styleId="Revision">
    <w:name w:val="Revision"/>
    <w:hidden/>
    <w:uiPriority w:val="99"/>
    <w:semiHidden/>
    <w:rsid w:val="002B30A3"/>
    <w:pPr>
      <w:spacing w:after="0" w:line="240" w:lineRule="auto"/>
    </w:pPr>
    <w:rPr>
      <w:lang w:val="en-US"/>
    </w:rPr>
  </w:style>
  <w:style w:type="character" w:styleId="Hyperlink">
    <w:name w:val="Hyperlink"/>
    <w:basedOn w:val="DefaultParagraphFont"/>
    <w:uiPriority w:val="99"/>
    <w:unhideWhenUsed/>
    <w:rsid w:val="00C8367A"/>
    <w:rPr>
      <w:color w:val="467886" w:themeColor="hyperlink"/>
      <w:u w:val="single"/>
    </w:rPr>
  </w:style>
  <w:style w:type="character" w:styleId="UnresolvedMention">
    <w:name w:val="Unresolved Mention"/>
    <w:basedOn w:val="DefaultParagraphFont"/>
    <w:uiPriority w:val="99"/>
    <w:semiHidden/>
    <w:unhideWhenUsed/>
    <w:rsid w:val="00C8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726">
      <w:bodyDiv w:val="1"/>
      <w:marLeft w:val="0"/>
      <w:marRight w:val="0"/>
      <w:marTop w:val="0"/>
      <w:marBottom w:val="0"/>
      <w:divBdr>
        <w:top w:val="none" w:sz="0" w:space="0" w:color="auto"/>
        <w:left w:val="none" w:sz="0" w:space="0" w:color="auto"/>
        <w:bottom w:val="none" w:sz="0" w:space="0" w:color="auto"/>
        <w:right w:val="none" w:sz="0" w:space="0" w:color="auto"/>
      </w:divBdr>
      <w:divsChild>
        <w:div w:id="1353848211">
          <w:marLeft w:val="0"/>
          <w:marRight w:val="0"/>
          <w:marTop w:val="0"/>
          <w:marBottom w:val="0"/>
          <w:divBdr>
            <w:top w:val="none" w:sz="0" w:space="0" w:color="auto"/>
            <w:left w:val="none" w:sz="0" w:space="0" w:color="auto"/>
            <w:bottom w:val="none" w:sz="0" w:space="0" w:color="auto"/>
            <w:right w:val="none" w:sz="0" w:space="0" w:color="auto"/>
          </w:divBdr>
        </w:div>
        <w:div w:id="2106875794">
          <w:marLeft w:val="0"/>
          <w:marRight w:val="0"/>
          <w:marTop w:val="0"/>
          <w:marBottom w:val="0"/>
          <w:divBdr>
            <w:top w:val="none" w:sz="0" w:space="0" w:color="auto"/>
            <w:left w:val="none" w:sz="0" w:space="0" w:color="auto"/>
            <w:bottom w:val="none" w:sz="0" w:space="0" w:color="auto"/>
            <w:right w:val="none" w:sz="0" w:space="0" w:color="auto"/>
          </w:divBdr>
        </w:div>
        <w:div w:id="343166553">
          <w:marLeft w:val="0"/>
          <w:marRight w:val="0"/>
          <w:marTop w:val="0"/>
          <w:marBottom w:val="0"/>
          <w:divBdr>
            <w:top w:val="none" w:sz="0" w:space="0" w:color="auto"/>
            <w:left w:val="none" w:sz="0" w:space="0" w:color="auto"/>
            <w:bottom w:val="none" w:sz="0" w:space="0" w:color="auto"/>
            <w:right w:val="none" w:sz="0" w:space="0" w:color="auto"/>
          </w:divBdr>
        </w:div>
        <w:div w:id="1546869808">
          <w:marLeft w:val="0"/>
          <w:marRight w:val="0"/>
          <w:marTop w:val="0"/>
          <w:marBottom w:val="0"/>
          <w:divBdr>
            <w:top w:val="none" w:sz="0" w:space="0" w:color="auto"/>
            <w:left w:val="none" w:sz="0" w:space="0" w:color="auto"/>
            <w:bottom w:val="none" w:sz="0" w:space="0" w:color="auto"/>
            <w:right w:val="none" w:sz="0" w:space="0" w:color="auto"/>
          </w:divBdr>
        </w:div>
        <w:div w:id="1584990588">
          <w:marLeft w:val="0"/>
          <w:marRight w:val="0"/>
          <w:marTop w:val="0"/>
          <w:marBottom w:val="0"/>
          <w:divBdr>
            <w:top w:val="none" w:sz="0" w:space="0" w:color="auto"/>
            <w:left w:val="none" w:sz="0" w:space="0" w:color="auto"/>
            <w:bottom w:val="none" w:sz="0" w:space="0" w:color="auto"/>
            <w:right w:val="none" w:sz="0" w:space="0" w:color="auto"/>
          </w:divBdr>
        </w:div>
        <w:div w:id="1250845043">
          <w:marLeft w:val="0"/>
          <w:marRight w:val="0"/>
          <w:marTop w:val="0"/>
          <w:marBottom w:val="0"/>
          <w:divBdr>
            <w:top w:val="none" w:sz="0" w:space="0" w:color="auto"/>
            <w:left w:val="none" w:sz="0" w:space="0" w:color="auto"/>
            <w:bottom w:val="none" w:sz="0" w:space="0" w:color="auto"/>
            <w:right w:val="none" w:sz="0" w:space="0" w:color="auto"/>
          </w:divBdr>
        </w:div>
      </w:divsChild>
    </w:div>
    <w:div w:id="200174285">
      <w:bodyDiv w:val="1"/>
      <w:marLeft w:val="0"/>
      <w:marRight w:val="0"/>
      <w:marTop w:val="0"/>
      <w:marBottom w:val="0"/>
      <w:divBdr>
        <w:top w:val="none" w:sz="0" w:space="0" w:color="auto"/>
        <w:left w:val="none" w:sz="0" w:space="0" w:color="auto"/>
        <w:bottom w:val="none" w:sz="0" w:space="0" w:color="auto"/>
        <w:right w:val="none" w:sz="0" w:space="0" w:color="auto"/>
      </w:divBdr>
    </w:div>
    <w:div w:id="322122148">
      <w:bodyDiv w:val="1"/>
      <w:marLeft w:val="0"/>
      <w:marRight w:val="0"/>
      <w:marTop w:val="0"/>
      <w:marBottom w:val="0"/>
      <w:divBdr>
        <w:top w:val="none" w:sz="0" w:space="0" w:color="auto"/>
        <w:left w:val="none" w:sz="0" w:space="0" w:color="auto"/>
        <w:bottom w:val="none" w:sz="0" w:space="0" w:color="auto"/>
        <w:right w:val="none" w:sz="0" w:space="0" w:color="auto"/>
      </w:divBdr>
    </w:div>
    <w:div w:id="396586929">
      <w:bodyDiv w:val="1"/>
      <w:marLeft w:val="0"/>
      <w:marRight w:val="0"/>
      <w:marTop w:val="0"/>
      <w:marBottom w:val="0"/>
      <w:divBdr>
        <w:top w:val="none" w:sz="0" w:space="0" w:color="auto"/>
        <w:left w:val="none" w:sz="0" w:space="0" w:color="auto"/>
        <w:bottom w:val="none" w:sz="0" w:space="0" w:color="auto"/>
        <w:right w:val="none" w:sz="0" w:space="0" w:color="auto"/>
      </w:divBdr>
      <w:divsChild>
        <w:div w:id="1333952022">
          <w:marLeft w:val="0"/>
          <w:marRight w:val="0"/>
          <w:marTop w:val="0"/>
          <w:marBottom w:val="0"/>
          <w:divBdr>
            <w:top w:val="none" w:sz="0" w:space="0" w:color="auto"/>
            <w:left w:val="none" w:sz="0" w:space="0" w:color="auto"/>
            <w:bottom w:val="none" w:sz="0" w:space="0" w:color="auto"/>
            <w:right w:val="none" w:sz="0" w:space="0" w:color="auto"/>
          </w:divBdr>
        </w:div>
        <w:div w:id="977999178">
          <w:marLeft w:val="0"/>
          <w:marRight w:val="0"/>
          <w:marTop w:val="0"/>
          <w:marBottom w:val="0"/>
          <w:divBdr>
            <w:top w:val="none" w:sz="0" w:space="0" w:color="auto"/>
            <w:left w:val="none" w:sz="0" w:space="0" w:color="auto"/>
            <w:bottom w:val="none" w:sz="0" w:space="0" w:color="auto"/>
            <w:right w:val="none" w:sz="0" w:space="0" w:color="auto"/>
          </w:divBdr>
        </w:div>
        <w:div w:id="795950053">
          <w:marLeft w:val="0"/>
          <w:marRight w:val="0"/>
          <w:marTop w:val="0"/>
          <w:marBottom w:val="0"/>
          <w:divBdr>
            <w:top w:val="none" w:sz="0" w:space="0" w:color="auto"/>
            <w:left w:val="none" w:sz="0" w:space="0" w:color="auto"/>
            <w:bottom w:val="none" w:sz="0" w:space="0" w:color="auto"/>
            <w:right w:val="none" w:sz="0" w:space="0" w:color="auto"/>
          </w:divBdr>
        </w:div>
        <w:div w:id="1282375143">
          <w:marLeft w:val="0"/>
          <w:marRight w:val="0"/>
          <w:marTop w:val="0"/>
          <w:marBottom w:val="0"/>
          <w:divBdr>
            <w:top w:val="none" w:sz="0" w:space="0" w:color="auto"/>
            <w:left w:val="none" w:sz="0" w:space="0" w:color="auto"/>
            <w:bottom w:val="none" w:sz="0" w:space="0" w:color="auto"/>
            <w:right w:val="none" w:sz="0" w:space="0" w:color="auto"/>
          </w:divBdr>
        </w:div>
        <w:div w:id="1890805082">
          <w:marLeft w:val="0"/>
          <w:marRight w:val="0"/>
          <w:marTop w:val="0"/>
          <w:marBottom w:val="0"/>
          <w:divBdr>
            <w:top w:val="none" w:sz="0" w:space="0" w:color="auto"/>
            <w:left w:val="none" w:sz="0" w:space="0" w:color="auto"/>
            <w:bottom w:val="none" w:sz="0" w:space="0" w:color="auto"/>
            <w:right w:val="none" w:sz="0" w:space="0" w:color="auto"/>
          </w:divBdr>
        </w:div>
        <w:div w:id="1392464067">
          <w:marLeft w:val="0"/>
          <w:marRight w:val="0"/>
          <w:marTop w:val="0"/>
          <w:marBottom w:val="0"/>
          <w:divBdr>
            <w:top w:val="none" w:sz="0" w:space="0" w:color="auto"/>
            <w:left w:val="none" w:sz="0" w:space="0" w:color="auto"/>
            <w:bottom w:val="none" w:sz="0" w:space="0" w:color="auto"/>
            <w:right w:val="none" w:sz="0" w:space="0" w:color="auto"/>
          </w:divBdr>
        </w:div>
      </w:divsChild>
    </w:div>
    <w:div w:id="461537170">
      <w:bodyDiv w:val="1"/>
      <w:marLeft w:val="0"/>
      <w:marRight w:val="0"/>
      <w:marTop w:val="0"/>
      <w:marBottom w:val="0"/>
      <w:divBdr>
        <w:top w:val="none" w:sz="0" w:space="0" w:color="auto"/>
        <w:left w:val="none" w:sz="0" w:space="0" w:color="auto"/>
        <w:bottom w:val="none" w:sz="0" w:space="0" w:color="auto"/>
        <w:right w:val="none" w:sz="0" w:space="0" w:color="auto"/>
      </w:divBdr>
    </w:div>
    <w:div w:id="559364785">
      <w:bodyDiv w:val="1"/>
      <w:marLeft w:val="0"/>
      <w:marRight w:val="0"/>
      <w:marTop w:val="0"/>
      <w:marBottom w:val="0"/>
      <w:divBdr>
        <w:top w:val="none" w:sz="0" w:space="0" w:color="auto"/>
        <w:left w:val="none" w:sz="0" w:space="0" w:color="auto"/>
        <w:bottom w:val="none" w:sz="0" w:space="0" w:color="auto"/>
        <w:right w:val="none" w:sz="0" w:space="0" w:color="auto"/>
      </w:divBdr>
    </w:div>
    <w:div w:id="746458650">
      <w:bodyDiv w:val="1"/>
      <w:marLeft w:val="0"/>
      <w:marRight w:val="0"/>
      <w:marTop w:val="0"/>
      <w:marBottom w:val="0"/>
      <w:divBdr>
        <w:top w:val="none" w:sz="0" w:space="0" w:color="auto"/>
        <w:left w:val="none" w:sz="0" w:space="0" w:color="auto"/>
        <w:bottom w:val="none" w:sz="0" w:space="0" w:color="auto"/>
        <w:right w:val="none" w:sz="0" w:space="0" w:color="auto"/>
      </w:divBdr>
    </w:div>
    <w:div w:id="1019235529">
      <w:bodyDiv w:val="1"/>
      <w:marLeft w:val="0"/>
      <w:marRight w:val="0"/>
      <w:marTop w:val="0"/>
      <w:marBottom w:val="0"/>
      <w:divBdr>
        <w:top w:val="none" w:sz="0" w:space="0" w:color="auto"/>
        <w:left w:val="none" w:sz="0" w:space="0" w:color="auto"/>
        <w:bottom w:val="none" w:sz="0" w:space="0" w:color="auto"/>
        <w:right w:val="none" w:sz="0" w:space="0" w:color="auto"/>
      </w:divBdr>
    </w:div>
    <w:div w:id="1056664310">
      <w:bodyDiv w:val="1"/>
      <w:marLeft w:val="0"/>
      <w:marRight w:val="0"/>
      <w:marTop w:val="0"/>
      <w:marBottom w:val="0"/>
      <w:divBdr>
        <w:top w:val="none" w:sz="0" w:space="0" w:color="auto"/>
        <w:left w:val="none" w:sz="0" w:space="0" w:color="auto"/>
        <w:bottom w:val="none" w:sz="0" w:space="0" w:color="auto"/>
        <w:right w:val="none" w:sz="0" w:space="0" w:color="auto"/>
      </w:divBdr>
    </w:div>
    <w:div w:id="1353416383">
      <w:bodyDiv w:val="1"/>
      <w:marLeft w:val="0"/>
      <w:marRight w:val="0"/>
      <w:marTop w:val="0"/>
      <w:marBottom w:val="0"/>
      <w:divBdr>
        <w:top w:val="none" w:sz="0" w:space="0" w:color="auto"/>
        <w:left w:val="none" w:sz="0" w:space="0" w:color="auto"/>
        <w:bottom w:val="none" w:sz="0" w:space="0" w:color="auto"/>
        <w:right w:val="none" w:sz="0" w:space="0" w:color="auto"/>
      </w:divBdr>
    </w:div>
    <w:div w:id="1528641307">
      <w:bodyDiv w:val="1"/>
      <w:marLeft w:val="0"/>
      <w:marRight w:val="0"/>
      <w:marTop w:val="0"/>
      <w:marBottom w:val="0"/>
      <w:divBdr>
        <w:top w:val="none" w:sz="0" w:space="0" w:color="auto"/>
        <w:left w:val="none" w:sz="0" w:space="0" w:color="auto"/>
        <w:bottom w:val="none" w:sz="0" w:space="0" w:color="auto"/>
        <w:right w:val="none" w:sz="0" w:space="0" w:color="auto"/>
      </w:divBdr>
    </w:div>
    <w:div w:id="1751849706">
      <w:bodyDiv w:val="1"/>
      <w:marLeft w:val="0"/>
      <w:marRight w:val="0"/>
      <w:marTop w:val="0"/>
      <w:marBottom w:val="0"/>
      <w:divBdr>
        <w:top w:val="none" w:sz="0" w:space="0" w:color="auto"/>
        <w:left w:val="none" w:sz="0" w:space="0" w:color="auto"/>
        <w:bottom w:val="none" w:sz="0" w:space="0" w:color="auto"/>
        <w:right w:val="none" w:sz="0" w:space="0" w:color="auto"/>
      </w:divBdr>
    </w:div>
    <w:div w:id="1912496008">
      <w:bodyDiv w:val="1"/>
      <w:marLeft w:val="0"/>
      <w:marRight w:val="0"/>
      <w:marTop w:val="0"/>
      <w:marBottom w:val="0"/>
      <w:divBdr>
        <w:top w:val="none" w:sz="0" w:space="0" w:color="auto"/>
        <w:left w:val="none" w:sz="0" w:space="0" w:color="auto"/>
        <w:bottom w:val="none" w:sz="0" w:space="0" w:color="auto"/>
        <w:right w:val="none" w:sz="0" w:space="0" w:color="auto"/>
      </w:divBdr>
    </w:div>
    <w:div w:id="1966232738">
      <w:bodyDiv w:val="1"/>
      <w:marLeft w:val="0"/>
      <w:marRight w:val="0"/>
      <w:marTop w:val="0"/>
      <w:marBottom w:val="0"/>
      <w:divBdr>
        <w:top w:val="none" w:sz="0" w:space="0" w:color="auto"/>
        <w:left w:val="none" w:sz="0" w:space="0" w:color="auto"/>
        <w:bottom w:val="none" w:sz="0" w:space="0" w:color="auto"/>
        <w:right w:val="none" w:sz="0" w:space="0" w:color="auto"/>
      </w:divBdr>
    </w:div>
    <w:div w:id="1980766915">
      <w:bodyDiv w:val="1"/>
      <w:marLeft w:val="0"/>
      <w:marRight w:val="0"/>
      <w:marTop w:val="0"/>
      <w:marBottom w:val="0"/>
      <w:divBdr>
        <w:top w:val="none" w:sz="0" w:space="0" w:color="auto"/>
        <w:left w:val="none" w:sz="0" w:space="0" w:color="auto"/>
        <w:bottom w:val="none" w:sz="0" w:space="0" w:color="auto"/>
        <w:right w:val="none" w:sz="0" w:space="0" w:color="auto"/>
      </w:divBdr>
    </w:div>
    <w:div w:id="21070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B539A-0A79-4105-991B-DF539305348B}">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2.xml><?xml version="1.0" encoding="utf-8"?>
<ds:datastoreItem xmlns:ds="http://schemas.openxmlformats.org/officeDocument/2006/customXml" ds:itemID="{862E8BE3-C146-4D23-950F-3A0C2BE92487}">
  <ds:schemaRefs>
    <ds:schemaRef ds:uri="http://schemas.openxmlformats.org/officeDocument/2006/bibliography"/>
  </ds:schemaRefs>
</ds:datastoreItem>
</file>

<file path=customXml/itemProps3.xml><?xml version="1.0" encoding="utf-8"?>
<ds:datastoreItem xmlns:ds="http://schemas.openxmlformats.org/officeDocument/2006/customXml" ds:itemID="{31D9D642-133C-4E16-BF27-8BD91B8A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1C0D2-1F9A-480B-89FA-D3AD4FBD41C3}">
  <ds:schemaRefs>
    <ds:schemaRef ds:uri="http://schemas.microsoft.com/sharepoint/v3/contenttype/forms"/>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Andrew</dc:creator>
  <cp:keywords/>
  <dc:description/>
  <cp:lastModifiedBy>HANNI Sandra</cp:lastModifiedBy>
  <cp:revision>50</cp:revision>
  <dcterms:created xsi:type="dcterms:W3CDTF">2025-05-13T18:04:00Z</dcterms:created>
  <dcterms:modified xsi:type="dcterms:W3CDTF">2025-05-14T06:25:00Z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ies>
</file>