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6ECB" w14:textId="74D4F981" w:rsidR="0095421F" w:rsidRPr="001F1C96" w:rsidRDefault="001F1C96" w:rsidP="009E4592">
      <w:pPr>
        <w:pStyle w:val="bullet3"/>
        <w:numPr>
          <w:ilvl w:val="0"/>
          <w:numId w:val="0"/>
        </w:numPr>
        <w:rPr>
          <w:rStyle w:val="normaltextrun"/>
          <w:rFonts w:ascii="Calibri" w:hAnsi="Calibri" w:cs="Calibri"/>
          <w:b/>
          <w:bCs/>
          <w:sz w:val="28"/>
          <w:szCs w:val="28"/>
          <w:lang w:val="sv-SE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sv-SE"/>
        </w:rPr>
        <w:t xml:space="preserve">Utkast på Internationella Handelskammarens </w:t>
      </w:r>
      <w:r w:rsidR="009E4592" w:rsidRPr="001F1C96">
        <w:rPr>
          <w:rStyle w:val="normaltextrun"/>
          <w:rFonts w:ascii="Calibri" w:hAnsi="Calibri" w:cs="Calibri"/>
          <w:b/>
          <w:bCs/>
          <w:sz w:val="28"/>
          <w:szCs w:val="28"/>
          <w:lang w:val="sv-SE"/>
        </w:rPr>
        <w:t>policyprioriteringar 2023</w:t>
      </w:r>
    </w:p>
    <w:p w14:paraId="40C614D0" w14:textId="75F07138" w:rsidR="001F29D9" w:rsidRPr="001F1C96" w:rsidRDefault="001F29D9" w:rsidP="009E4592">
      <w:pPr>
        <w:pStyle w:val="bullet3"/>
        <w:numPr>
          <w:ilvl w:val="0"/>
          <w:numId w:val="0"/>
        </w:numPr>
        <w:rPr>
          <w:rStyle w:val="normaltextrun"/>
          <w:rFonts w:ascii="Calibri" w:hAnsi="Calibri" w:cs="Calibri"/>
          <w:sz w:val="22"/>
          <w:szCs w:val="22"/>
          <w:lang w:val="sv-SE"/>
        </w:rPr>
      </w:pPr>
      <w:r w:rsidRPr="001F1C96">
        <w:rPr>
          <w:rStyle w:val="normaltextrun"/>
          <w:rFonts w:ascii="Calibri" w:hAnsi="Calibri" w:cs="Calibri"/>
          <w:sz w:val="22"/>
          <w:szCs w:val="22"/>
          <w:lang w:val="sv-SE"/>
        </w:rPr>
        <w:t>Inför 2023 har ICC:s globala policyavdelning cirkulerat ett utkast på prioriteringar inom ramen för vår</w:t>
      </w:r>
      <w:r w:rsidR="008B38F7">
        <w:rPr>
          <w:rStyle w:val="normaltextrun"/>
          <w:rFonts w:ascii="Calibri" w:hAnsi="Calibri" w:cs="Calibri"/>
          <w:sz w:val="22"/>
          <w:szCs w:val="22"/>
          <w:lang w:val="sv-SE"/>
        </w:rPr>
        <w:t>a</w:t>
      </w:r>
      <w:r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 olika policyområden. Prioriteringarna kommer att vara vägledande för ICC:s globala policyarbete under nästkommande år. Som medlemmar i ICC har ni nu möjlighet att vara med och påverka inriktingen genom att dela med er av era kommentarer på prioriteringarna. </w:t>
      </w:r>
      <w:r w:rsidR="001F1C96"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Parallellt med detta pågår också ett arbete med att identifiera nästa års fokusområden för våra svenska policykommittéer. </w:t>
      </w:r>
      <w:r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Era synpunkter kommer </w:t>
      </w:r>
      <w:r w:rsidR="001F1C96"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därför </w:t>
      </w:r>
      <w:r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både att ligga till grund för vårt samlade inspel gentemot vårt huvudkontor i Paris, men också för de prioriterade frågor som </w:t>
      </w:r>
      <w:r w:rsidR="001F1C96" w:rsidRPr="001F1C96">
        <w:rPr>
          <w:rStyle w:val="normaltextrun"/>
          <w:rFonts w:ascii="Calibri" w:hAnsi="Calibri" w:cs="Calibri"/>
          <w:sz w:val="22"/>
          <w:szCs w:val="22"/>
          <w:lang w:val="sv-SE"/>
        </w:rPr>
        <w:t>ICC Sverige</w:t>
      </w:r>
      <w:r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 kommer att driva under nästa år. </w:t>
      </w:r>
    </w:p>
    <w:p w14:paraId="51574A3E" w14:textId="122BA670" w:rsidR="00930089" w:rsidRPr="001F1C96" w:rsidRDefault="006A12FF" w:rsidP="009E4592">
      <w:pPr>
        <w:pStyle w:val="bullet3"/>
        <w:numPr>
          <w:ilvl w:val="0"/>
          <w:numId w:val="0"/>
        </w:numPr>
        <w:rPr>
          <w:rStyle w:val="normaltextrun"/>
          <w:rFonts w:ascii="Calibri" w:hAnsi="Calibri" w:cs="Calibri"/>
          <w:sz w:val="22"/>
          <w:szCs w:val="22"/>
          <w:lang w:val="sv-SE"/>
        </w:rPr>
      </w:pPr>
      <w:r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Nedan finner ni </w:t>
      </w:r>
      <w:r w:rsidR="001F29D9"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utkast på prioriteringarna fördelade under era respektive kommittéer. </w:t>
      </w:r>
      <w:r w:rsidR="000C3903"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Vi tar tacksamt emot </w:t>
      </w:r>
      <w:r w:rsidR="00930089" w:rsidRPr="001F1C96">
        <w:rPr>
          <w:rStyle w:val="normaltextrun"/>
          <w:rFonts w:ascii="Calibri" w:hAnsi="Calibri" w:cs="Calibri"/>
          <w:sz w:val="22"/>
          <w:szCs w:val="22"/>
          <w:lang w:val="sv-SE"/>
        </w:rPr>
        <w:t>synpunkter om ni håller med om prioriteringarna,</w:t>
      </w:r>
      <w:r w:rsidR="001F29D9"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 om ni anser att någon fråga är mindre prioriterad</w:t>
      </w:r>
      <w:r w:rsidR="00930089"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 eller </w:t>
      </w:r>
      <w:r w:rsidR="001F1C96"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om ni </w:t>
      </w:r>
      <w:r w:rsidR="00930089"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önskar lägga till </w:t>
      </w:r>
      <w:r w:rsidR="001F1C96"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ytterligare </w:t>
      </w:r>
      <w:r w:rsidR="004D5AAB">
        <w:rPr>
          <w:rStyle w:val="normaltextrun"/>
          <w:rFonts w:ascii="Calibri" w:hAnsi="Calibri" w:cs="Calibri"/>
          <w:sz w:val="22"/>
          <w:szCs w:val="22"/>
          <w:lang w:val="sv-SE"/>
        </w:rPr>
        <w:t>punkter</w:t>
      </w:r>
      <w:r w:rsidR="00930089"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. </w:t>
      </w:r>
      <w:r w:rsidR="001F29D9"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I er återkoppling får ni gärna också </w:t>
      </w:r>
      <w:r w:rsidR="001F1C96"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understryka vilka av </w:t>
      </w:r>
      <w:hyperlink r:id="rId11" w:history="1">
        <w:r w:rsidR="001F29D9" w:rsidRPr="001F1C96">
          <w:rPr>
            <w:rStyle w:val="Hyperlnk"/>
            <w:rFonts w:ascii="Calibri" w:hAnsi="Calibri" w:cs="Calibri"/>
            <w:sz w:val="22"/>
            <w:szCs w:val="22"/>
            <w:lang w:val="sv-SE"/>
          </w:rPr>
          <w:t>2022 års prioriteringar</w:t>
        </w:r>
      </w:hyperlink>
      <w:r w:rsidR="001F1C96"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 som ni anser vara fortsatt aktuella samt understryka om det finns policyfrågor som ni ser är särskilt angelägna att just ICC Sverige driver under nästkommande år. </w:t>
      </w:r>
    </w:p>
    <w:p w14:paraId="3D5330D1" w14:textId="62A8475F" w:rsidR="009E4592" w:rsidRPr="001F1C96" w:rsidRDefault="003F0C8D" w:rsidP="009E4592">
      <w:pPr>
        <w:pStyle w:val="bullet3"/>
        <w:numPr>
          <w:ilvl w:val="0"/>
          <w:numId w:val="0"/>
        </w:numPr>
        <w:rPr>
          <w:rStyle w:val="normaltextrun"/>
          <w:rFonts w:ascii="Calibri" w:hAnsi="Calibri" w:cs="Calibri"/>
          <w:sz w:val="22"/>
          <w:szCs w:val="22"/>
          <w:lang w:val="sv-SE"/>
        </w:rPr>
      </w:pPr>
      <w:r w:rsidRPr="001F1C96">
        <w:rPr>
          <w:rStyle w:val="normaltextrun"/>
          <w:rFonts w:ascii="Calibri" w:hAnsi="Calibri" w:cs="Calibri"/>
          <w:b/>
          <w:bCs/>
          <w:sz w:val="22"/>
          <w:szCs w:val="22"/>
          <w:lang w:val="sv-SE"/>
        </w:rPr>
        <w:t>För att vara med och påverka nästa års prioriteringar</w:t>
      </w:r>
      <w:r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 – vänl</w:t>
      </w:r>
      <w:r w:rsidR="00930089" w:rsidRPr="001F1C96">
        <w:rPr>
          <w:rStyle w:val="normaltextrun"/>
          <w:rFonts w:ascii="Calibri" w:hAnsi="Calibri" w:cs="Calibri"/>
          <w:sz w:val="22"/>
          <w:szCs w:val="22"/>
          <w:lang w:val="sv-SE"/>
        </w:rPr>
        <w:t>i</w:t>
      </w:r>
      <w:r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gen skicka era inspel och kommentarer </w:t>
      </w:r>
      <w:r w:rsidR="001F1C96"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på nedan utkast </w:t>
      </w:r>
      <w:r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till </w:t>
      </w:r>
      <w:hyperlink r:id="rId12" w:history="1">
        <w:r w:rsidR="001F29D9" w:rsidRPr="001F1C96">
          <w:rPr>
            <w:rStyle w:val="Hyperlnk"/>
            <w:rFonts w:ascii="Calibri" w:hAnsi="Calibri" w:cs="Calibri"/>
            <w:sz w:val="22"/>
            <w:szCs w:val="22"/>
            <w:lang w:val="sv-SE"/>
          </w:rPr>
          <w:t>henrik.blomqvist@icc.se</w:t>
        </w:r>
      </w:hyperlink>
      <w:r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 och </w:t>
      </w:r>
      <w:hyperlink r:id="rId13" w:history="1">
        <w:r w:rsidRPr="001F1C96">
          <w:rPr>
            <w:rStyle w:val="Hyperlnk"/>
            <w:rFonts w:ascii="Calibri" w:hAnsi="Calibri" w:cs="Calibri"/>
            <w:sz w:val="22"/>
            <w:szCs w:val="22"/>
            <w:lang w:val="sv-SE"/>
          </w:rPr>
          <w:t>alfred.ram@icc.se</w:t>
        </w:r>
      </w:hyperlink>
      <w:r w:rsidR="001F29D9" w:rsidRPr="001F1C96">
        <w:rPr>
          <w:rStyle w:val="Hyperlnk"/>
          <w:rFonts w:ascii="Calibri" w:hAnsi="Calibri" w:cs="Calibri"/>
          <w:sz w:val="22"/>
          <w:szCs w:val="22"/>
          <w:lang w:val="sv-SE"/>
        </w:rPr>
        <w:t xml:space="preserve"> </w:t>
      </w:r>
      <w:r w:rsidR="001F29D9" w:rsidRPr="001F1C96">
        <w:rPr>
          <w:rStyle w:val="normaltextrun"/>
          <w:rFonts w:ascii="Calibri" w:hAnsi="Calibri" w:cs="Calibri"/>
          <w:b/>
          <w:bCs/>
          <w:color w:val="FF0000"/>
          <w:sz w:val="22"/>
          <w:szCs w:val="22"/>
          <w:lang w:val="sv-SE"/>
        </w:rPr>
        <w:t>senast den 15 december</w:t>
      </w:r>
      <w:r w:rsidR="001F1C96">
        <w:rPr>
          <w:rStyle w:val="normaltextrun"/>
          <w:rFonts w:ascii="Calibri" w:hAnsi="Calibri" w:cs="Calibri"/>
          <w:b/>
          <w:bCs/>
          <w:color w:val="FF0000"/>
          <w:sz w:val="22"/>
          <w:szCs w:val="22"/>
          <w:lang w:val="sv-SE"/>
        </w:rPr>
        <w:t xml:space="preserve"> COB</w:t>
      </w:r>
      <w:r w:rsidRPr="001F1C96">
        <w:rPr>
          <w:rStyle w:val="normaltextrun"/>
          <w:rFonts w:ascii="Calibri" w:hAnsi="Calibri" w:cs="Calibri"/>
          <w:sz w:val="22"/>
          <w:szCs w:val="22"/>
          <w:lang w:val="sv-SE"/>
        </w:rPr>
        <w:t xml:space="preserve">.  </w:t>
      </w:r>
    </w:p>
    <w:p w14:paraId="399C3370" w14:textId="760B613C" w:rsidR="001F1C96" w:rsidRPr="00D24362" w:rsidRDefault="001F1C96" w:rsidP="009E4592">
      <w:pPr>
        <w:pStyle w:val="bullet3"/>
        <w:numPr>
          <w:ilvl w:val="0"/>
          <w:numId w:val="0"/>
        </w:numP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sv-SE"/>
        </w:rPr>
      </w:pPr>
      <w:r w:rsidRPr="00D24362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sv-SE"/>
        </w:rPr>
        <w:t>Obs! Notera att det här dokumentet inte får cirkuleras vidare!</w:t>
      </w:r>
    </w:p>
    <w:p w14:paraId="6C5E702D" w14:textId="77777777" w:rsidR="001F1C96" w:rsidRPr="001F1C96" w:rsidRDefault="001F1C96" w:rsidP="001F29D9">
      <w:pPr>
        <w:spacing w:after="200" w:line="259" w:lineRule="auto"/>
        <w:rPr>
          <w:rFonts w:ascii="Calibri" w:hAnsi="Calibri" w:cs="Calibri"/>
          <w:b/>
          <w:bCs/>
          <w:color w:val="007DFF"/>
          <w:sz w:val="24"/>
          <w:lang w:val="sv-SE"/>
        </w:rPr>
      </w:pPr>
    </w:p>
    <w:p w14:paraId="6D5A32D2" w14:textId="5079D147" w:rsidR="001F29D9" w:rsidRPr="001F1C96" w:rsidRDefault="001F29D9" w:rsidP="001F29D9">
      <w:pPr>
        <w:spacing w:after="200" w:line="259" w:lineRule="auto"/>
        <w:rPr>
          <w:rFonts w:ascii="Calibri" w:hAnsi="Calibri" w:cs="Calibri"/>
          <w:b/>
          <w:bCs/>
          <w:color w:val="007DFF"/>
          <w:sz w:val="24"/>
          <w:lang w:val="sv-SE"/>
        </w:rPr>
      </w:pPr>
      <w:r w:rsidRPr="001F1C96">
        <w:rPr>
          <w:rFonts w:ascii="Calibri" w:hAnsi="Calibri" w:cs="Calibri"/>
          <w:b/>
          <w:bCs/>
          <w:color w:val="007DFF"/>
          <w:sz w:val="24"/>
          <w:lang w:val="sv-SE"/>
        </w:rPr>
        <w:t>Digital ekonomi</w:t>
      </w:r>
    </w:p>
    <w:p w14:paraId="385CA2B8" w14:textId="77777777" w:rsidR="001F29D9" w:rsidRPr="001F1C96" w:rsidRDefault="001F29D9" w:rsidP="001F29D9">
      <w:pPr>
        <w:pStyle w:val="Liststycke"/>
        <w:numPr>
          <w:ilvl w:val="0"/>
          <w:numId w:val="21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 xml:space="preserve">Build a multi-stakeholder coalition to effect a step-change in global cooperation on cybersecurity, mainstreaming cyber in the global development agenda.  </w:t>
      </w:r>
    </w:p>
    <w:p w14:paraId="54DB2D35" w14:textId="77777777" w:rsidR="001F29D9" w:rsidRPr="001F1C96" w:rsidRDefault="001F29D9" w:rsidP="001F29D9">
      <w:pPr>
        <w:pStyle w:val="Liststycke"/>
        <w:numPr>
          <w:ilvl w:val="0"/>
          <w:numId w:val="21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 xml:space="preserve">Deliver business insights to shape ongoing UN cybersecurity negotiations. </w:t>
      </w:r>
    </w:p>
    <w:p w14:paraId="77622537" w14:textId="77777777" w:rsidR="001F29D9" w:rsidRPr="001F1C96" w:rsidRDefault="001F29D9" w:rsidP="001F29D9">
      <w:pPr>
        <w:pStyle w:val="Liststycke"/>
        <w:numPr>
          <w:ilvl w:val="0"/>
          <w:numId w:val="21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Promote global alignment with the OECD principles on trusted government access to personal data held by the private sector.</w:t>
      </w:r>
    </w:p>
    <w:p w14:paraId="39E87BFB" w14:textId="2A22F6F5" w:rsidR="001F1C96" w:rsidRPr="001F1C96" w:rsidRDefault="001F29D9" w:rsidP="001F1C96">
      <w:pPr>
        <w:pStyle w:val="Liststycke"/>
        <w:numPr>
          <w:ilvl w:val="0"/>
          <w:numId w:val="21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Inform the development of global policy frameworks to enable “data free flow with trust”, leveraging practical industry approaches.</w:t>
      </w:r>
      <w:r w:rsidR="001F1C96">
        <w:rPr>
          <w:rFonts w:ascii="Calibri" w:hAnsi="Calibri" w:cs="Calibri"/>
          <w:sz w:val="22"/>
          <w:szCs w:val="22"/>
        </w:rPr>
        <w:br/>
      </w:r>
    </w:p>
    <w:p w14:paraId="12ABBC0E" w14:textId="77777777" w:rsidR="001F29D9" w:rsidRPr="001F1C96" w:rsidRDefault="001F29D9" w:rsidP="001F29D9">
      <w:pPr>
        <w:rPr>
          <w:rFonts w:ascii="Calibri" w:hAnsi="Calibri" w:cs="Calibri"/>
          <w:b/>
          <w:bCs/>
          <w:color w:val="007DFF"/>
          <w:sz w:val="24"/>
        </w:rPr>
      </w:pPr>
      <w:r w:rsidRPr="001F1C96">
        <w:rPr>
          <w:rFonts w:ascii="Calibri" w:hAnsi="Calibri" w:cs="Calibri"/>
          <w:b/>
          <w:bCs/>
          <w:color w:val="007DFF"/>
          <w:sz w:val="24"/>
        </w:rPr>
        <w:t>Handel och investeringar</w:t>
      </w:r>
    </w:p>
    <w:p w14:paraId="615A21A0" w14:textId="77777777" w:rsidR="001F29D9" w:rsidRPr="001F1C96" w:rsidRDefault="001F29D9" w:rsidP="001F29D9">
      <w:pPr>
        <w:pStyle w:val="Liststycke"/>
        <w:numPr>
          <w:ilvl w:val="0"/>
          <w:numId w:val="26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Shape and accelerate negotiations on the reform of the World Trade Organization system.</w:t>
      </w:r>
    </w:p>
    <w:p w14:paraId="59C8EE56" w14:textId="36D81C28" w:rsidR="001F29D9" w:rsidRPr="001F1C96" w:rsidRDefault="001F29D9" w:rsidP="001F29D9">
      <w:pPr>
        <w:pStyle w:val="Liststycke"/>
        <w:numPr>
          <w:ilvl w:val="0"/>
          <w:numId w:val="26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Make the business case for governments to adopt a permanent prohibition on the application of customs duties to data transfers at the WTO’s next Ministerial Conference in conjunction with the ICC Global Customs and Trade Facilitation and Taxation Commissions.</w:t>
      </w:r>
      <w:r w:rsidRPr="001F1C9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C6C32B6" w14:textId="77777777" w:rsidR="001F29D9" w:rsidRPr="001F1C96" w:rsidRDefault="001F29D9" w:rsidP="001F29D9">
      <w:pPr>
        <w:pStyle w:val="Liststycke"/>
        <w:numPr>
          <w:ilvl w:val="0"/>
          <w:numId w:val="26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Deliver business insights to shape a high-standard outcome to the WTO e-commerce negotiations.</w:t>
      </w:r>
    </w:p>
    <w:p w14:paraId="209C711D" w14:textId="428C3665" w:rsidR="001F1C96" w:rsidRDefault="001F29D9" w:rsidP="001F1C96">
      <w:pPr>
        <w:pStyle w:val="Liststycke"/>
        <w:numPr>
          <w:ilvl w:val="0"/>
          <w:numId w:val="26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Lead global debate on potential trade policy reforms to accelerate and scale the deployment of circular economy approaches.</w:t>
      </w:r>
      <w:r w:rsidR="001F1C96">
        <w:rPr>
          <w:rFonts w:ascii="Calibri" w:hAnsi="Calibri" w:cs="Calibri"/>
          <w:sz w:val="22"/>
          <w:szCs w:val="22"/>
        </w:rPr>
        <w:br/>
      </w:r>
    </w:p>
    <w:p w14:paraId="180F8D92" w14:textId="77777777" w:rsidR="001F1C96" w:rsidRDefault="001F1C96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C0CC54C" w14:textId="17331B7C" w:rsidR="006A12FF" w:rsidRPr="001F1C96" w:rsidRDefault="00456922" w:rsidP="00456922">
      <w:pPr>
        <w:spacing w:after="200" w:line="259" w:lineRule="auto"/>
        <w:rPr>
          <w:rFonts w:ascii="Calibri" w:hAnsi="Calibri" w:cs="Calibri"/>
          <w:b/>
          <w:bCs/>
          <w:color w:val="007DFF"/>
          <w:sz w:val="24"/>
        </w:rPr>
      </w:pPr>
      <w:r w:rsidRPr="001F1C96">
        <w:rPr>
          <w:rFonts w:ascii="Calibri" w:hAnsi="Calibri" w:cs="Calibri"/>
          <w:b/>
          <w:bCs/>
          <w:color w:val="007DFF"/>
          <w:sz w:val="24"/>
        </w:rPr>
        <w:t xml:space="preserve">Handelsrätt </w:t>
      </w:r>
    </w:p>
    <w:p w14:paraId="60F9B0B3" w14:textId="3084936D" w:rsidR="006A12FF" w:rsidRPr="001F1C96" w:rsidRDefault="006A12FF" w:rsidP="006A12FF">
      <w:pPr>
        <w:pStyle w:val="Liststycke"/>
        <w:numPr>
          <w:ilvl w:val="0"/>
          <w:numId w:val="29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Develop and pilot practical tools to facilitate the effective use of the ICC Incoterms® rules by businesses throughout the world.</w:t>
      </w:r>
    </w:p>
    <w:p w14:paraId="65FCB6CA" w14:textId="691899A8" w:rsidR="006A12FF" w:rsidRPr="001F1C96" w:rsidRDefault="006A12FF" w:rsidP="006A12FF">
      <w:pPr>
        <w:pStyle w:val="Liststycke"/>
        <w:numPr>
          <w:ilvl w:val="0"/>
          <w:numId w:val="29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Update ICC’s suite of model contracts to meet new business needs.</w:t>
      </w:r>
    </w:p>
    <w:p w14:paraId="286BE289" w14:textId="3C508929" w:rsidR="001F1C96" w:rsidRPr="001F1C96" w:rsidRDefault="006A12FF" w:rsidP="001F1C96">
      <w:pPr>
        <w:pStyle w:val="Liststycke"/>
        <w:numPr>
          <w:ilvl w:val="0"/>
          <w:numId w:val="30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Champion the modernization of legal frameworks to enable digitalization of cross-border trade processes in conjunction with the ICC Digital Standards Initiative.</w:t>
      </w:r>
      <w:r w:rsidR="001F1C96">
        <w:rPr>
          <w:rFonts w:ascii="Calibri" w:hAnsi="Calibri" w:cs="Calibri"/>
          <w:sz w:val="22"/>
          <w:szCs w:val="22"/>
        </w:rPr>
        <w:br/>
      </w:r>
    </w:p>
    <w:p w14:paraId="76C60912" w14:textId="77777777" w:rsidR="001F29D9" w:rsidRPr="001F1C96" w:rsidRDefault="001F29D9" w:rsidP="001F29D9">
      <w:pPr>
        <w:rPr>
          <w:rFonts w:ascii="Calibri" w:hAnsi="Calibri" w:cs="Calibri"/>
          <w:b/>
          <w:bCs/>
          <w:i/>
          <w:iCs/>
          <w:sz w:val="24"/>
        </w:rPr>
      </w:pPr>
      <w:r w:rsidRPr="001F1C96">
        <w:rPr>
          <w:rFonts w:ascii="Calibri" w:hAnsi="Calibri" w:cs="Calibri"/>
          <w:b/>
          <w:bCs/>
          <w:color w:val="007DFF"/>
          <w:sz w:val="24"/>
        </w:rPr>
        <w:t>Hållbarhet</w:t>
      </w:r>
    </w:p>
    <w:p w14:paraId="2656DF34" w14:textId="77777777" w:rsidR="001F29D9" w:rsidRPr="001F1C96" w:rsidRDefault="001F29D9" w:rsidP="001F29D9">
      <w:pPr>
        <w:pStyle w:val="Liststycke"/>
        <w:numPr>
          <w:ilvl w:val="0"/>
          <w:numId w:val="17"/>
        </w:numPr>
        <w:spacing w:after="200" w:line="259" w:lineRule="auto"/>
        <w:rPr>
          <w:rFonts w:ascii="Calibri" w:hAnsi="Calibri" w:cs="Calibri"/>
          <w:b/>
          <w:bCs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Revise the ICC Rules on Combatting Corruption and the ICC Anti-Corruption Clause.</w:t>
      </w:r>
    </w:p>
    <w:p w14:paraId="6DBDA016" w14:textId="77777777" w:rsidR="001F29D9" w:rsidRPr="001F1C96" w:rsidRDefault="001F29D9" w:rsidP="001F29D9">
      <w:pPr>
        <w:pStyle w:val="Liststycke"/>
        <w:numPr>
          <w:ilvl w:val="0"/>
          <w:numId w:val="17"/>
        </w:numPr>
        <w:spacing w:after="200" w:line="259" w:lineRule="auto"/>
        <w:rPr>
          <w:rFonts w:ascii="Calibri" w:hAnsi="Calibri" w:cs="Calibri"/>
          <w:b/>
          <w:bCs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Develop and deliver the first-ever industry framework to support responsible engagement with “sensitive” markets.</w:t>
      </w:r>
    </w:p>
    <w:p w14:paraId="1EB34FCD" w14:textId="77777777" w:rsidR="001F29D9" w:rsidRPr="001F1C96" w:rsidRDefault="001F29D9" w:rsidP="001F29D9">
      <w:pPr>
        <w:pStyle w:val="Liststycke"/>
        <w:numPr>
          <w:ilvl w:val="0"/>
          <w:numId w:val="27"/>
        </w:numPr>
        <w:spacing w:after="200" w:line="259" w:lineRule="auto"/>
        <w:rPr>
          <w:rFonts w:ascii="Calibri" w:hAnsi="Calibri" w:cs="Calibri"/>
          <w:b/>
          <w:bCs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 xml:space="preserve">Develop an “Integrity Advocacy Toolkit” to support and enable engagement to combat corruption by companies and local business networks. </w:t>
      </w:r>
    </w:p>
    <w:p w14:paraId="60091CD9" w14:textId="77777777" w:rsidR="001F29D9" w:rsidRPr="001F1C96" w:rsidRDefault="001F29D9" w:rsidP="001F29D9">
      <w:pPr>
        <w:pStyle w:val="Liststycke"/>
        <w:numPr>
          <w:ilvl w:val="0"/>
          <w:numId w:val="22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Channel business expertise into critical-path UNFCCC negotiations ahead of COP28.</w:t>
      </w:r>
    </w:p>
    <w:p w14:paraId="58A4A592" w14:textId="77777777" w:rsidR="001F29D9" w:rsidRPr="001F1C96" w:rsidRDefault="001F29D9" w:rsidP="001F29D9">
      <w:pPr>
        <w:pStyle w:val="Liststycke"/>
        <w:numPr>
          <w:ilvl w:val="0"/>
          <w:numId w:val="22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Develop guidance for policymakers to enhance the effectiveness of carbon pricing systems – with a particular focus on the issues of linking, price levels and use of proceeds   in conjunction with the ICC Global Taxation Commission.</w:t>
      </w:r>
    </w:p>
    <w:p w14:paraId="3F70ABBB" w14:textId="77777777" w:rsidR="001F29D9" w:rsidRPr="001F1C96" w:rsidRDefault="001F29D9" w:rsidP="001F29D9">
      <w:pPr>
        <w:pStyle w:val="Liststycke"/>
        <w:numPr>
          <w:ilvl w:val="0"/>
          <w:numId w:val="22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 xml:space="preserve">Provide business insights to support the development of an effective international treaty to curb plastics pollution. </w:t>
      </w:r>
    </w:p>
    <w:p w14:paraId="081E32A2" w14:textId="7C0377CA" w:rsidR="001F1C96" w:rsidRPr="001F1C96" w:rsidRDefault="001F29D9" w:rsidP="001F1C96">
      <w:pPr>
        <w:pStyle w:val="Liststycke"/>
        <w:numPr>
          <w:ilvl w:val="0"/>
          <w:numId w:val="32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 xml:space="preserve">Pilot and further develop the ICC Sustainable Trade Framework in conjunction with the ICC Global Banking Commission. </w:t>
      </w:r>
      <w:r w:rsidR="001F1C96">
        <w:rPr>
          <w:rFonts w:ascii="Calibri" w:hAnsi="Calibri" w:cs="Calibri"/>
          <w:sz w:val="22"/>
          <w:szCs w:val="22"/>
        </w:rPr>
        <w:br/>
      </w:r>
    </w:p>
    <w:p w14:paraId="47EAED3B" w14:textId="25C90A0B" w:rsidR="006A12FF" w:rsidRPr="001F1C96" w:rsidRDefault="00456922" w:rsidP="006A12FF">
      <w:pPr>
        <w:rPr>
          <w:rFonts w:ascii="Calibri" w:hAnsi="Calibri" w:cs="Calibri"/>
          <w:b/>
          <w:bCs/>
          <w:i/>
          <w:iCs/>
          <w:sz w:val="24"/>
        </w:rPr>
      </w:pPr>
      <w:r w:rsidRPr="001F1C96">
        <w:rPr>
          <w:rFonts w:ascii="Calibri" w:hAnsi="Calibri" w:cs="Calibri"/>
          <w:b/>
          <w:bCs/>
          <w:color w:val="007DFF"/>
          <w:sz w:val="24"/>
        </w:rPr>
        <w:t>Immaterialrätt</w:t>
      </w:r>
    </w:p>
    <w:p w14:paraId="1A9BBA51" w14:textId="00030621" w:rsidR="006A12FF" w:rsidRPr="001F1C96" w:rsidRDefault="006A12FF" w:rsidP="006A12FF">
      <w:pPr>
        <w:pStyle w:val="Liststycke"/>
        <w:numPr>
          <w:ilvl w:val="0"/>
          <w:numId w:val="25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 xml:space="preserve">Inform potential policy approaches to curb the growing threat of abusive third-party funding of IP litigation. </w:t>
      </w:r>
    </w:p>
    <w:p w14:paraId="63476CA5" w14:textId="77777777" w:rsidR="006A12FF" w:rsidRPr="001F1C96" w:rsidRDefault="006A12FF" w:rsidP="006A12FF">
      <w:pPr>
        <w:pStyle w:val="Liststycke"/>
        <w:numPr>
          <w:ilvl w:val="0"/>
          <w:numId w:val="25"/>
        </w:numPr>
        <w:spacing w:after="200" w:line="259" w:lineRule="auto"/>
        <w:rPr>
          <w:rFonts w:ascii="Calibri" w:hAnsi="Calibri" w:cs="Calibri"/>
          <w:b/>
          <w:bCs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Inform ongoing UN negotiations to recalibrate existing legal frameworks governing the relationship between scientific research, innovation and biodiversity preservation.</w:t>
      </w:r>
      <w:r w:rsidRPr="001F1C96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36D0427B" w14:textId="50646214" w:rsidR="001F1C96" w:rsidRPr="001F1C96" w:rsidRDefault="006A12FF" w:rsidP="001F1C96">
      <w:pPr>
        <w:pStyle w:val="Liststycke"/>
        <w:numPr>
          <w:ilvl w:val="0"/>
          <w:numId w:val="33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 xml:space="preserve">Support the roll-out of tools to help small businesses better leverage their IP assets. </w:t>
      </w:r>
      <w:r w:rsidR="001F1C96">
        <w:rPr>
          <w:rFonts w:ascii="Calibri" w:hAnsi="Calibri" w:cs="Calibri"/>
          <w:sz w:val="22"/>
          <w:szCs w:val="22"/>
        </w:rPr>
        <w:br/>
      </w:r>
    </w:p>
    <w:p w14:paraId="52BB86B7" w14:textId="77777777" w:rsidR="001F29D9" w:rsidRPr="001F1C96" w:rsidRDefault="001F29D9" w:rsidP="001F29D9">
      <w:pPr>
        <w:spacing w:after="200" w:line="259" w:lineRule="auto"/>
        <w:rPr>
          <w:rFonts w:ascii="Calibri" w:hAnsi="Calibri" w:cs="Calibri"/>
          <w:b/>
          <w:bCs/>
          <w:color w:val="007DFF"/>
          <w:sz w:val="24"/>
        </w:rPr>
      </w:pPr>
      <w:r w:rsidRPr="001F1C96">
        <w:rPr>
          <w:rFonts w:ascii="Calibri" w:hAnsi="Calibri" w:cs="Calibri"/>
          <w:b/>
          <w:bCs/>
          <w:color w:val="007DFF"/>
          <w:sz w:val="24"/>
        </w:rPr>
        <w:t xml:space="preserve">Konkurrens </w:t>
      </w:r>
    </w:p>
    <w:p w14:paraId="7F2C0EEA" w14:textId="37E6EACE" w:rsidR="001F29D9" w:rsidRPr="001F1C96" w:rsidRDefault="001F29D9" w:rsidP="001F29D9">
      <w:pPr>
        <w:pStyle w:val="Liststycke"/>
        <w:numPr>
          <w:ilvl w:val="0"/>
          <w:numId w:val="19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Shape a step-change in antitrust policy to enable essential industry collaboration to meet global climate and sustainability goals – targeting key jurisdictions in Europe, North America and Lat</w:t>
      </w:r>
      <w:r w:rsidR="001F1C96" w:rsidRPr="001F1C96">
        <w:rPr>
          <w:rFonts w:ascii="Calibri" w:hAnsi="Calibri" w:cs="Calibri"/>
          <w:sz w:val="22"/>
          <w:szCs w:val="22"/>
        </w:rPr>
        <w:t xml:space="preserve">in </w:t>
      </w:r>
      <w:r w:rsidRPr="001F1C96">
        <w:rPr>
          <w:rFonts w:ascii="Calibri" w:hAnsi="Calibri" w:cs="Calibri"/>
          <w:sz w:val="22"/>
          <w:szCs w:val="22"/>
        </w:rPr>
        <w:t>Am</w:t>
      </w:r>
      <w:r w:rsidR="001F1C96" w:rsidRPr="001F1C96">
        <w:rPr>
          <w:rFonts w:ascii="Calibri" w:hAnsi="Calibri" w:cs="Calibri"/>
          <w:sz w:val="22"/>
          <w:szCs w:val="22"/>
        </w:rPr>
        <w:t>erica</w:t>
      </w:r>
      <w:r w:rsidRPr="001F1C96">
        <w:rPr>
          <w:rFonts w:ascii="Calibri" w:hAnsi="Calibri" w:cs="Calibri"/>
          <w:sz w:val="22"/>
          <w:szCs w:val="22"/>
        </w:rPr>
        <w:t xml:space="preserve">.  </w:t>
      </w:r>
    </w:p>
    <w:p w14:paraId="5845318D" w14:textId="77777777" w:rsidR="001F29D9" w:rsidRPr="001F1C96" w:rsidRDefault="001F29D9" w:rsidP="001F29D9">
      <w:pPr>
        <w:pStyle w:val="Liststycke"/>
        <w:numPr>
          <w:ilvl w:val="0"/>
          <w:numId w:val="19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 xml:space="preserve">Encourage increased harmonisation of national merger control regimes to provide greater certainty and predictability for business operating internationally. </w:t>
      </w:r>
    </w:p>
    <w:p w14:paraId="6B27341B" w14:textId="7E656818" w:rsidR="001F1C96" w:rsidRPr="001F1C96" w:rsidRDefault="001F29D9">
      <w:pPr>
        <w:pStyle w:val="Liststycke"/>
        <w:numPr>
          <w:ilvl w:val="0"/>
          <w:numId w:val="31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 xml:space="preserve">Provide guidance to help companies navigate increasingly complex policy approaches to foreign subsidies. </w:t>
      </w:r>
      <w:r w:rsidR="001F1C96" w:rsidRPr="001F1C96">
        <w:rPr>
          <w:rFonts w:ascii="Calibri" w:hAnsi="Calibri" w:cs="Calibri"/>
          <w:sz w:val="22"/>
          <w:szCs w:val="22"/>
        </w:rPr>
        <w:br/>
      </w:r>
    </w:p>
    <w:p w14:paraId="527223C7" w14:textId="2C92FC86" w:rsidR="006A12FF" w:rsidRPr="001F1C96" w:rsidRDefault="00456922" w:rsidP="006A12FF">
      <w:pPr>
        <w:rPr>
          <w:rFonts w:ascii="Calibri" w:hAnsi="Calibri" w:cs="Calibri"/>
          <w:b/>
          <w:bCs/>
          <w:sz w:val="24"/>
        </w:rPr>
      </w:pPr>
      <w:r w:rsidRPr="001F1C96">
        <w:rPr>
          <w:rFonts w:ascii="Calibri" w:hAnsi="Calibri" w:cs="Calibri"/>
          <w:b/>
          <w:bCs/>
          <w:color w:val="007DFF"/>
          <w:sz w:val="24"/>
        </w:rPr>
        <w:t>Marknadsföring</w:t>
      </w:r>
    </w:p>
    <w:p w14:paraId="7FD36A3F" w14:textId="4879DAE5" w:rsidR="006A12FF" w:rsidRPr="001F1C96" w:rsidRDefault="006A12FF" w:rsidP="006A12FF">
      <w:pPr>
        <w:pStyle w:val="Liststycke"/>
        <w:numPr>
          <w:ilvl w:val="0"/>
          <w:numId w:val="23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Revise the ICC Marketing and Advertising Code.</w:t>
      </w:r>
    </w:p>
    <w:p w14:paraId="6C9FF4BC" w14:textId="77777777" w:rsidR="006A12FF" w:rsidRPr="001F1C96" w:rsidRDefault="006A12FF" w:rsidP="006A12FF">
      <w:pPr>
        <w:pStyle w:val="Liststycke"/>
        <w:numPr>
          <w:ilvl w:val="0"/>
          <w:numId w:val="34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 xml:space="preserve">Demonstrate the continued relevance of marketing and advertising self-regulation on issues of growing interest to policymakers and consumers – such as diversity and the use of new technologies. </w:t>
      </w:r>
    </w:p>
    <w:p w14:paraId="7C00C39E" w14:textId="05B7B25D" w:rsidR="001F1C96" w:rsidRPr="001F1C96" w:rsidRDefault="006A12FF" w:rsidP="001F1C96">
      <w:pPr>
        <w:pStyle w:val="Liststycke"/>
        <w:numPr>
          <w:ilvl w:val="0"/>
          <w:numId w:val="34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Promote the adoption of existing ICC frameworks, guides and principles – including the ICC Framework for Responsible Environmental Marketing Communications – to build trust in corporate sustainability claims</w:t>
      </w:r>
      <w:r w:rsidR="002D30A9" w:rsidRPr="001F1C96">
        <w:rPr>
          <w:rFonts w:ascii="Calibri" w:hAnsi="Calibri" w:cs="Calibri"/>
          <w:sz w:val="22"/>
          <w:szCs w:val="22"/>
        </w:rPr>
        <w:t>.</w:t>
      </w:r>
      <w:r w:rsidR="001F1C96">
        <w:rPr>
          <w:rFonts w:ascii="Calibri" w:hAnsi="Calibri" w:cs="Calibri"/>
          <w:sz w:val="22"/>
          <w:szCs w:val="22"/>
        </w:rPr>
        <w:br/>
      </w:r>
    </w:p>
    <w:p w14:paraId="011B5E7A" w14:textId="1DEE60D2" w:rsidR="006A12FF" w:rsidRPr="001F1C96" w:rsidRDefault="00456922" w:rsidP="00456922">
      <w:pPr>
        <w:spacing w:after="200" w:line="259" w:lineRule="auto"/>
        <w:rPr>
          <w:rFonts w:ascii="Calibri" w:hAnsi="Calibri" w:cs="Calibri"/>
          <w:b/>
          <w:bCs/>
          <w:color w:val="007DFF"/>
          <w:sz w:val="24"/>
        </w:rPr>
      </w:pPr>
      <w:r w:rsidRPr="001F1C96">
        <w:rPr>
          <w:rFonts w:ascii="Calibri" w:hAnsi="Calibri" w:cs="Calibri"/>
          <w:b/>
          <w:bCs/>
          <w:color w:val="007DFF"/>
          <w:sz w:val="24"/>
        </w:rPr>
        <w:t>Skatter</w:t>
      </w:r>
    </w:p>
    <w:p w14:paraId="12042146" w14:textId="1667F534" w:rsidR="006A12FF" w:rsidRPr="001F1C96" w:rsidRDefault="006A12FF" w:rsidP="006A12FF">
      <w:pPr>
        <w:pStyle w:val="Liststycke"/>
        <w:numPr>
          <w:ilvl w:val="0"/>
          <w:numId w:val="24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Provide business insights to shape workable international tax reforms under the OECD inclusive framework – and the proposed development of a new UN convention – emphasising the need for tax certainty and international coordination.</w:t>
      </w:r>
    </w:p>
    <w:p w14:paraId="437D41B0" w14:textId="77777777" w:rsidR="006A12FF" w:rsidRPr="001F1C96" w:rsidRDefault="006A12FF" w:rsidP="006A12FF">
      <w:pPr>
        <w:pStyle w:val="Liststycke"/>
        <w:numPr>
          <w:ilvl w:val="0"/>
          <w:numId w:val="24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 xml:space="preserve">Advocate for the implementation of robust tax dispute prevention and resolution mechanisms. </w:t>
      </w:r>
    </w:p>
    <w:p w14:paraId="374DD850" w14:textId="77777777" w:rsidR="006A12FF" w:rsidRPr="001F1C96" w:rsidRDefault="006A12FF" w:rsidP="006A12FF">
      <w:pPr>
        <w:pStyle w:val="Liststycke"/>
        <w:numPr>
          <w:ilvl w:val="0"/>
          <w:numId w:val="24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 xml:space="preserve">Lead international debate on the appropriate tax treatment of cross-border teleworkers in a post-pandemic world. </w:t>
      </w:r>
    </w:p>
    <w:p w14:paraId="3712CB52" w14:textId="2F9E05BC" w:rsidR="001F1C96" w:rsidRPr="001F1C96" w:rsidRDefault="006A12FF" w:rsidP="001F1C96">
      <w:pPr>
        <w:pStyle w:val="Liststycke"/>
        <w:numPr>
          <w:ilvl w:val="0"/>
          <w:numId w:val="35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Support business in navigating the relationship between tax, environmental goals and “ESG” reporting in conjunction with the ICC Global Environment and Energy Commission.</w:t>
      </w:r>
      <w:r w:rsidR="001F1C96">
        <w:rPr>
          <w:rFonts w:ascii="Calibri" w:hAnsi="Calibri" w:cs="Calibri"/>
          <w:sz w:val="22"/>
          <w:szCs w:val="22"/>
        </w:rPr>
        <w:br/>
      </w:r>
    </w:p>
    <w:p w14:paraId="32C57884" w14:textId="77777777" w:rsidR="001F29D9" w:rsidRPr="001F1C96" w:rsidRDefault="001F29D9" w:rsidP="001F29D9">
      <w:pPr>
        <w:rPr>
          <w:rFonts w:ascii="Calibri" w:hAnsi="Calibri" w:cs="Calibri"/>
          <w:b/>
          <w:bCs/>
          <w:i/>
          <w:iCs/>
          <w:sz w:val="24"/>
        </w:rPr>
      </w:pPr>
      <w:r w:rsidRPr="001F1C96">
        <w:rPr>
          <w:rFonts w:ascii="Calibri" w:hAnsi="Calibri" w:cs="Calibri"/>
          <w:b/>
          <w:bCs/>
          <w:color w:val="007DFF"/>
          <w:sz w:val="24"/>
        </w:rPr>
        <w:t>Trade Finance</w:t>
      </w:r>
    </w:p>
    <w:p w14:paraId="5CAD1FA4" w14:textId="77777777" w:rsidR="001F29D9" w:rsidRPr="001F1C96" w:rsidRDefault="001F29D9" w:rsidP="001F29D9">
      <w:pPr>
        <w:pStyle w:val="Liststycke"/>
        <w:numPr>
          <w:ilvl w:val="0"/>
          <w:numId w:val="18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Upgrade the ICC Trade Register to establish this data pool as the definitive source of market intelligence for trade finance products for banks, investors and regulators.</w:t>
      </w:r>
    </w:p>
    <w:p w14:paraId="78A3BF8D" w14:textId="77777777" w:rsidR="001F29D9" w:rsidRPr="001F1C96" w:rsidRDefault="001F29D9" w:rsidP="001F29D9">
      <w:pPr>
        <w:pStyle w:val="Liststycke"/>
        <w:numPr>
          <w:ilvl w:val="0"/>
          <w:numId w:val="28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 xml:space="preserve">Secure proportionate capital treatment of trade finance assets in the context of key legislative initiatives. </w:t>
      </w:r>
    </w:p>
    <w:p w14:paraId="60ECFBF5" w14:textId="77777777" w:rsidR="001F1C96" w:rsidRPr="001F1C96" w:rsidRDefault="001F29D9" w:rsidP="001F29D9">
      <w:pPr>
        <w:pStyle w:val="Liststycke"/>
        <w:numPr>
          <w:ilvl w:val="0"/>
          <w:numId w:val="29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Support the adoption of digital processes under ICC trade finance rules – including through the development of standardised APIs in conjunction with the ICC Digital Standards Initiative.</w:t>
      </w:r>
    </w:p>
    <w:p w14:paraId="3CF8706B" w14:textId="7E8ABE7E" w:rsidR="001F29D9" w:rsidRPr="001F1C96" w:rsidRDefault="001F29D9" w:rsidP="001F29D9">
      <w:pPr>
        <w:pStyle w:val="Liststycke"/>
        <w:numPr>
          <w:ilvl w:val="0"/>
          <w:numId w:val="29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Issue updated financial crime and risk policy guidance for trade finance transactions.</w:t>
      </w:r>
    </w:p>
    <w:p w14:paraId="21FD9DCD" w14:textId="77777777" w:rsidR="001F29D9" w:rsidRPr="001F1C96" w:rsidRDefault="001F29D9" w:rsidP="001F29D9">
      <w:pPr>
        <w:pStyle w:val="Liststycke"/>
        <w:numPr>
          <w:ilvl w:val="0"/>
          <w:numId w:val="29"/>
        </w:numPr>
        <w:spacing w:after="200" w:line="259" w:lineRule="auto"/>
        <w:rPr>
          <w:rFonts w:ascii="Calibri" w:hAnsi="Calibri" w:cs="Calibri"/>
          <w:sz w:val="22"/>
          <w:szCs w:val="22"/>
        </w:rPr>
      </w:pPr>
      <w:r w:rsidRPr="001F1C96">
        <w:rPr>
          <w:rFonts w:ascii="Calibri" w:hAnsi="Calibri" w:cs="Calibri"/>
          <w:sz w:val="22"/>
          <w:szCs w:val="22"/>
        </w:rPr>
        <w:t>Revise ICC’s guidance for the processing of letter-of-credit transactions.</w:t>
      </w:r>
    </w:p>
    <w:p w14:paraId="7B67870B" w14:textId="77777777" w:rsidR="002458D5" w:rsidRPr="001F1C96" w:rsidRDefault="002458D5" w:rsidP="002458D5">
      <w:pPr>
        <w:pStyle w:val="Liststycke"/>
        <w:spacing w:after="200" w:line="259" w:lineRule="auto"/>
        <w:rPr>
          <w:rFonts w:ascii="Calibri" w:hAnsi="Calibri" w:cs="Calibri"/>
          <w:szCs w:val="20"/>
        </w:rPr>
      </w:pPr>
    </w:p>
    <w:p w14:paraId="01E657A1" w14:textId="77777777" w:rsidR="006A12FF" w:rsidRPr="001F1C96" w:rsidRDefault="006A12FF" w:rsidP="009E4592">
      <w:pPr>
        <w:pStyle w:val="bullet3"/>
        <w:numPr>
          <w:ilvl w:val="0"/>
          <w:numId w:val="0"/>
        </w:numPr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662DE458" w14:textId="77777777" w:rsidR="009E4592" w:rsidRPr="001F1C96" w:rsidRDefault="009E4592" w:rsidP="009E4592">
      <w:pPr>
        <w:pStyle w:val="bullet3"/>
        <w:numPr>
          <w:ilvl w:val="0"/>
          <w:numId w:val="0"/>
        </w:numPr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31511BAB" w14:textId="77777777" w:rsidR="0095421F" w:rsidRPr="001F1C96" w:rsidRDefault="0095421F" w:rsidP="00E93387">
      <w:pPr>
        <w:spacing w:after="0"/>
        <w:rPr>
          <w:rFonts w:ascii="Calibri" w:hAnsi="Calibri" w:cs="Calibri"/>
          <w:b/>
          <w:bCs/>
          <w:color w:val="auto"/>
        </w:rPr>
      </w:pPr>
    </w:p>
    <w:sectPr w:rsidR="0095421F" w:rsidRPr="001F1C96" w:rsidSect="009825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598" w:right="1418" w:bottom="1230" w:left="1418" w:header="309" w:footer="61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9151" w14:textId="77777777" w:rsidR="00585858" w:rsidRDefault="00585858" w:rsidP="000222B2">
      <w:r>
        <w:separator/>
      </w:r>
    </w:p>
    <w:p w14:paraId="77CFCE14" w14:textId="77777777" w:rsidR="00585858" w:rsidRDefault="00585858" w:rsidP="000222B2"/>
    <w:p w14:paraId="7A21C6A1" w14:textId="77777777" w:rsidR="00585858" w:rsidRDefault="00585858" w:rsidP="000222B2"/>
    <w:p w14:paraId="7CCE07F2" w14:textId="77777777" w:rsidR="00585858" w:rsidRDefault="00585858" w:rsidP="000222B2"/>
    <w:p w14:paraId="0713B9B1" w14:textId="77777777" w:rsidR="00585858" w:rsidRDefault="00585858" w:rsidP="000222B2"/>
    <w:p w14:paraId="1AC768A3" w14:textId="77777777" w:rsidR="00585858" w:rsidRDefault="00585858" w:rsidP="000222B2"/>
  </w:endnote>
  <w:endnote w:type="continuationSeparator" w:id="0">
    <w:p w14:paraId="501E8716" w14:textId="77777777" w:rsidR="00585858" w:rsidRDefault="00585858" w:rsidP="000222B2">
      <w:r>
        <w:continuationSeparator/>
      </w:r>
    </w:p>
    <w:p w14:paraId="3E312CEF" w14:textId="77777777" w:rsidR="00585858" w:rsidRDefault="00585858" w:rsidP="000222B2"/>
    <w:p w14:paraId="7F95B3C6" w14:textId="77777777" w:rsidR="00585858" w:rsidRDefault="00585858" w:rsidP="000222B2"/>
    <w:p w14:paraId="2D1EA2CD" w14:textId="77777777" w:rsidR="00585858" w:rsidRDefault="00585858" w:rsidP="000222B2"/>
    <w:p w14:paraId="0B584D4B" w14:textId="77777777" w:rsidR="00585858" w:rsidRDefault="00585858" w:rsidP="000222B2"/>
    <w:p w14:paraId="559A0046" w14:textId="77777777" w:rsidR="00585858" w:rsidRDefault="00585858" w:rsidP="000222B2"/>
  </w:endnote>
  <w:endnote w:type="continuationNotice" w:id="1">
    <w:p w14:paraId="540C2537" w14:textId="77777777" w:rsidR="00585858" w:rsidRDefault="005858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llix">
    <w:panose1 w:val="020B0604020202020204"/>
    <w:charset w:val="4D"/>
    <w:family w:val="auto"/>
    <w:notTrueType/>
    <w:pitch w:val="variable"/>
    <w:sig w:usb0="A10000EF" w:usb1="0000207A" w:usb2="00000000" w:usb3="00000000" w:csb0="00000093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Gotham Bold"/>
    <w:panose1 w:val="00000000000000000000"/>
    <w:charset w:val="00"/>
    <w:family w:val="auto"/>
    <w:pitch w:val="variable"/>
    <w:sig w:usb0="A00002FF" w:usb1="4000005B" w:usb2="00000000" w:usb3="00000000" w:csb0="0000009F" w:csb1="00000000"/>
  </w:font>
  <w:font w:name="Gellix SemiBold">
    <w:panose1 w:val="00000000000000000000"/>
    <w:charset w:val="4D"/>
    <w:family w:val="auto"/>
    <w:notTrueType/>
    <w:pitch w:val="variable"/>
    <w:sig w:usb0="A10000E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regular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 Medium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2033719789"/>
      <w:docPartObj>
        <w:docPartGallery w:val="Page Numbers (Bottom of Page)"/>
        <w:docPartUnique/>
      </w:docPartObj>
    </w:sdtPr>
    <w:sdtContent>
      <w:p w14:paraId="6834B4C4" w14:textId="77777777" w:rsidR="00A83441" w:rsidRDefault="00A83441" w:rsidP="000222B2">
        <w:pPr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DF7189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sdt>
    <w:sdtPr>
      <w:rPr>
        <w:rStyle w:val="Sidnummer"/>
      </w:rPr>
      <w:id w:val="1308442505"/>
      <w:docPartObj>
        <w:docPartGallery w:val="Page Numbers (Bottom of Page)"/>
        <w:docPartUnique/>
      </w:docPartObj>
    </w:sdtPr>
    <w:sdtContent>
      <w:p w14:paraId="49079EC4" w14:textId="77777777" w:rsidR="00A83441" w:rsidRDefault="00A83441" w:rsidP="000222B2">
        <w:pPr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DF7189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44629DB2" w14:textId="77777777" w:rsidR="00A83441" w:rsidRDefault="00A83441" w:rsidP="000222B2"/>
  <w:p w14:paraId="16487D00" w14:textId="77777777" w:rsidR="00713BED" w:rsidRDefault="00713BED" w:rsidP="000222B2"/>
  <w:p w14:paraId="75F0197A" w14:textId="77777777" w:rsidR="00713BED" w:rsidRDefault="00713BED" w:rsidP="000222B2"/>
  <w:p w14:paraId="170E4B2B" w14:textId="77777777" w:rsidR="004D071C" w:rsidRDefault="004D071C" w:rsidP="000222B2"/>
  <w:p w14:paraId="1A666F30" w14:textId="77777777" w:rsidR="004D071C" w:rsidRDefault="004D071C" w:rsidP="000222B2"/>
  <w:p w14:paraId="66C4519D" w14:textId="77777777" w:rsidR="004D071C" w:rsidRDefault="004D071C" w:rsidP="000222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1618" w14:textId="77777777" w:rsidR="004D071C" w:rsidRDefault="00E77BA3" w:rsidP="000222B2">
    <w:r w:rsidRPr="000804A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0" wp14:anchorId="7B2006EA" wp14:editId="2CD9F809">
              <wp:simplePos x="0" y="0"/>
              <wp:positionH relativeFrom="page">
                <wp:posOffset>742950</wp:posOffset>
              </wp:positionH>
              <wp:positionV relativeFrom="page">
                <wp:posOffset>10045700</wp:posOffset>
              </wp:positionV>
              <wp:extent cx="6058800" cy="127710"/>
              <wp:effectExtent l="0" t="0" r="12065" b="1206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58800" cy="127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E46BF" w14:textId="77777777" w:rsidR="00F400C4" w:rsidRPr="00BC4006" w:rsidRDefault="00F400C4" w:rsidP="00F400C4">
                          <w:pPr>
                            <w:pStyle w:val="zFooter"/>
                          </w:pPr>
                        </w:p>
                        <w:p w14:paraId="05DCD34C" w14:textId="77777777" w:rsidR="00E77BA3" w:rsidRPr="00BC4006" w:rsidRDefault="00E77BA3" w:rsidP="00E77BA3">
                          <w:pPr>
                            <w:pStyle w:val="z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B2006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5pt;margin-top:791pt;width:477.0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" o:allowoverlap="f" filled="f" stroked="f">
              <v:path arrowok="t"/>
              <v:textbox inset="0,0,0,0">
                <w:txbxContent>
                  <w:p w14:paraId="31AE46BF" w14:textId="77777777" w:rsidR="00F400C4" w:rsidRPr="00BC4006" w:rsidRDefault="00F400C4" w:rsidP="00F400C4">
                    <w:pPr>
                      <w:pStyle w:val="zFooter"/>
                    </w:pPr>
                  </w:p>
                  <w:p w14:paraId="05DCD34C" w14:textId="77777777" w:rsidR="00E77BA3" w:rsidRPr="00BC4006" w:rsidRDefault="00E77BA3" w:rsidP="00E77BA3">
                    <w:pPr>
                      <w:pStyle w:val="zFoo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1A9E" w14:textId="72964679" w:rsidR="00713BED" w:rsidRPr="00982566" w:rsidRDefault="00713BED" w:rsidP="00982566">
    <w:pPr>
      <w:spacing w:after="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486D" w14:textId="77777777" w:rsidR="00585858" w:rsidRDefault="00585858" w:rsidP="000222B2">
      <w:r>
        <w:separator/>
      </w:r>
    </w:p>
    <w:p w14:paraId="03857E1B" w14:textId="77777777" w:rsidR="00585858" w:rsidRDefault="00585858" w:rsidP="000222B2"/>
    <w:p w14:paraId="334372B4" w14:textId="77777777" w:rsidR="00585858" w:rsidRDefault="00585858" w:rsidP="000222B2"/>
    <w:p w14:paraId="3D943344" w14:textId="77777777" w:rsidR="00585858" w:rsidRDefault="00585858" w:rsidP="000222B2"/>
    <w:p w14:paraId="797F834D" w14:textId="77777777" w:rsidR="00585858" w:rsidRDefault="00585858" w:rsidP="000222B2"/>
    <w:p w14:paraId="2BDD2BBE" w14:textId="77777777" w:rsidR="00585858" w:rsidRDefault="00585858" w:rsidP="000222B2"/>
  </w:footnote>
  <w:footnote w:type="continuationSeparator" w:id="0">
    <w:p w14:paraId="61F551F9" w14:textId="77777777" w:rsidR="00585858" w:rsidRDefault="00585858" w:rsidP="000222B2">
      <w:r>
        <w:continuationSeparator/>
      </w:r>
    </w:p>
    <w:p w14:paraId="1B56B665" w14:textId="77777777" w:rsidR="00585858" w:rsidRDefault="00585858" w:rsidP="000222B2"/>
    <w:p w14:paraId="689FFA9C" w14:textId="77777777" w:rsidR="00585858" w:rsidRDefault="00585858" w:rsidP="000222B2"/>
    <w:p w14:paraId="5C5E1C2B" w14:textId="77777777" w:rsidR="00585858" w:rsidRDefault="00585858" w:rsidP="000222B2"/>
    <w:p w14:paraId="216B943C" w14:textId="77777777" w:rsidR="00585858" w:rsidRDefault="00585858" w:rsidP="000222B2"/>
    <w:p w14:paraId="372289E1" w14:textId="77777777" w:rsidR="00585858" w:rsidRDefault="00585858" w:rsidP="000222B2"/>
  </w:footnote>
  <w:footnote w:type="continuationNotice" w:id="1">
    <w:p w14:paraId="63550EC4" w14:textId="77777777" w:rsidR="00585858" w:rsidRDefault="005858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BFCF" w14:textId="3F1EFDD7" w:rsidR="00155E25" w:rsidRDefault="005F6B3B" w:rsidP="000222B2">
    <w:pPr>
      <w:pStyle w:val="Sidhuvud"/>
    </w:pPr>
    <w:r>
      <w:rPr>
        <w:noProof/>
      </w:rPr>
    </w:r>
    <w:r w:rsidR="005F6B3B">
      <w:rPr>
        <w:noProof/>
      </w:rPr>
      <w:pict w14:anchorId="2CA837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3602952" o:spid="_x0000_s1027" type="#_x0000_t136" alt="" style="position:absolute;margin-left:0;margin-top:0;width:479.25pt;height:159.75pt;rotation:315;z-index:-25165823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UTKAST"/>
          <w10:wrap anchorx="margin" anchory="margin"/>
        </v:shape>
      </w:pict>
    </w:r>
  </w:p>
  <w:p w14:paraId="2DDB433D" w14:textId="77777777" w:rsidR="004D071C" w:rsidRDefault="004D071C" w:rsidP="000222B2"/>
  <w:p w14:paraId="4FAF493C" w14:textId="77777777" w:rsidR="004D071C" w:rsidRDefault="004D071C" w:rsidP="000222B2"/>
  <w:p w14:paraId="129966FB" w14:textId="77777777" w:rsidR="004D071C" w:rsidRDefault="004D071C" w:rsidP="000222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8A64" w14:textId="0B5C3B44" w:rsidR="001F1C96" w:rsidRDefault="005F6B3B">
    <w:pPr>
      <w:pStyle w:val="Sidhuvud"/>
    </w:pPr>
    <w:r>
      <w:rPr>
        <w:noProof/>
      </w:rPr>
    </w:r>
    <w:r w:rsidR="005F6B3B">
      <w:rPr>
        <w:noProof/>
      </w:rPr>
      <w:pict w14:anchorId="620E2F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3602953" o:spid="_x0000_s1026" type="#_x0000_t136" alt="" style="position:absolute;margin-left:0;margin-top:0;width:479.25pt;height:159.75pt;rotation:315;z-index:-2516582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UT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AA61" w14:textId="4C29A9B9" w:rsidR="00713BED" w:rsidRDefault="005F6B3B" w:rsidP="00833DE3">
    <w:r>
      <w:rPr>
        <w:noProof/>
      </w:rPr>
    </w:r>
    <w:r w:rsidR="005F6B3B">
      <w:rPr>
        <w:noProof/>
      </w:rPr>
      <w:pict w14:anchorId="1CC97E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3602951" o:spid="_x0000_s1025" type="#_x0000_t136" alt="" style="position:absolute;margin-left:0;margin-top:0;width:479.25pt;height:159.75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UTKAST"/>
          <w10:wrap anchorx="margin" anchory="margin"/>
        </v:shape>
      </w:pict>
    </w:r>
  </w:p>
  <w:p w14:paraId="0626156C" w14:textId="77777777" w:rsidR="00240027" w:rsidRDefault="00240027" w:rsidP="00833DE3">
    <w:r>
      <w:br/>
    </w:r>
  </w:p>
  <w:p w14:paraId="7E107CF7" w14:textId="69558EEC" w:rsidR="005A3059" w:rsidRDefault="00587F9C" w:rsidP="00E869D4">
    <w:pPr>
      <w:ind w:right="-57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76D5A54" wp14:editId="692F3FF3">
              <wp:simplePos x="0" y="0"/>
              <wp:positionH relativeFrom="column">
                <wp:posOffset>-82531</wp:posOffset>
              </wp:positionH>
              <wp:positionV relativeFrom="paragraph">
                <wp:posOffset>131445</wp:posOffset>
              </wp:positionV>
              <wp:extent cx="2835798" cy="54401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5798" cy="544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17E480" w14:textId="77777777" w:rsidR="00AC7BC8" w:rsidRPr="00982566" w:rsidRDefault="00AC7BC8" w:rsidP="003E4C3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76D5A54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left:0;text-align:left;margin-left:-6.5pt;margin-top:10.35pt;width:223.3pt;height:4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" filled="f" stroked="f" strokeweight=".5pt">
              <v:textbox>
                <w:txbxContent>
                  <w:p w14:paraId="1817E480" w14:textId="77777777" w:rsidR="00AC7BC8" w:rsidRPr="00982566" w:rsidRDefault="00AC7BC8" w:rsidP="003E4C3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2383A">
      <w:t xml:space="preserve">      </w:t>
    </w:r>
    <w:r w:rsidR="00DF7189">
      <w:t xml:space="preserve">  </w:t>
    </w:r>
    <w:r w:rsidR="0082383A">
      <w:t xml:space="preserve">  </w:t>
    </w:r>
    <w:r w:rsidR="00DF7189">
      <w:t xml:space="preserve">   </w:t>
    </w:r>
    <w:r w:rsidR="00E36B83">
      <w:rPr>
        <w:noProof/>
      </w:rPr>
      <w:t xml:space="preserve"> </w:t>
    </w:r>
    <w:r w:rsidR="0082383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269"/>
    <w:multiLevelType w:val="hybridMultilevel"/>
    <w:tmpl w:val="DFDA4444"/>
    <w:lvl w:ilvl="0" w:tplc="849E0BB2">
      <w:start w:val="1"/>
      <w:numFmt w:val="bullet"/>
      <w:lvlText w:val="—"/>
      <w:lvlJc w:val="left"/>
      <w:pPr>
        <w:ind w:left="720" w:hanging="360"/>
      </w:pPr>
      <w:rPr>
        <w:rFonts w:ascii="Arial Black" w:hAnsi="Arial Black" w:hint="default"/>
        <w:color w:val="FF5769" w:themeColor="accent4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DCC"/>
    <w:multiLevelType w:val="hybridMultilevel"/>
    <w:tmpl w:val="53AA139E"/>
    <w:lvl w:ilvl="0" w:tplc="5CD4938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000000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0BEF"/>
    <w:multiLevelType w:val="hybridMultilevel"/>
    <w:tmpl w:val="74A0BE3A"/>
    <w:lvl w:ilvl="0" w:tplc="F5FEA89A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86BBE6"/>
        <w:sz w:val="22"/>
      </w:rPr>
    </w:lvl>
    <w:lvl w:ilvl="1" w:tplc="6EAE70CC">
      <w:start w:val="1"/>
      <w:numFmt w:val="bullet"/>
      <w:pStyle w:val="bullet3"/>
      <w:lvlText w:val=""/>
      <w:lvlJc w:val="left"/>
      <w:pPr>
        <w:ind w:left="2160" w:hanging="360"/>
      </w:pPr>
      <w:rPr>
        <w:rFonts w:ascii="Symbol" w:hAnsi="Symbol" w:hint="default"/>
        <w:b/>
        <w:i w:val="0"/>
        <w:color w:val="853DE5" w:themeColor="accent3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B6037"/>
    <w:multiLevelType w:val="hybridMultilevel"/>
    <w:tmpl w:val="3424A7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C3A85"/>
    <w:multiLevelType w:val="multilevel"/>
    <w:tmpl w:val="9C1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282DF8"/>
    <w:multiLevelType w:val="hybridMultilevel"/>
    <w:tmpl w:val="5FEA2F60"/>
    <w:lvl w:ilvl="0" w:tplc="CCE4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background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68C5"/>
    <w:multiLevelType w:val="hybridMultilevel"/>
    <w:tmpl w:val="D73255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87EA4"/>
    <w:multiLevelType w:val="hybridMultilevel"/>
    <w:tmpl w:val="B30E9486"/>
    <w:lvl w:ilvl="0" w:tplc="3DCAD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background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D5DBA"/>
    <w:multiLevelType w:val="hybridMultilevel"/>
    <w:tmpl w:val="11CABACA"/>
    <w:lvl w:ilvl="0" w:tplc="95E4C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background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D38C2"/>
    <w:multiLevelType w:val="hybridMultilevel"/>
    <w:tmpl w:val="6CE636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53E92"/>
    <w:multiLevelType w:val="hybridMultilevel"/>
    <w:tmpl w:val="B2108888"/>
    <w:lvl w:ilvl="0" w:tplc="6F0EF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background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554BE"/>
    <w:multiLevelType w:val="hybridMultilevel"/>
    <w:tmpl w:val="6EE26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047314"/>
    <w:multiLevelType w:val="hybridMultilevel"/>
    <w:tmpl w:val="1BFC1BDC"/>
    <w:lvl w:ilvl="0" w:tplc="95E4C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background1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F2CAC"/>
    <w:multiLevelType w:val="hybridMultilevel"/>
    <w:tmpl w:val="3EF82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020E7"/>
    <w:multiLevelType w:val="hybridMultilevel"/>
    <w:tmpl w:val="C1A45F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F10AE"/>
    <w:multiLevelType w:val="hybridMultilevel"/>
    <w:tmpl w:val="CE287332"/>
    <w:lvl w:ilvl="0" w:tplc="9AECC14C">
      <w:start w:val="1"/>
      <w:numFmt w:val="bullet"/>
      <w:pStyle w:val="1BulletTitle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6" w15:restartNumberingAfterBreak="0">
    <w:nsid w:val="1D8702F1"/>
    <w:multiLevelType w:val="multilevel"/>
    <w:tmpl w:val="1194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B2672E"/>
    <w:multiLevelType w:val="hybridMultilevel"/>
    <w:tmpl w:val="87F417B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2B910B38"/>
    <w:multiLevelType w:val="hybridMultilevel"/>
    <w:tmpl w:val="206AE7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97FF6"/>
    <w:multiLevelType w:val="hybridMultilevel"/>
    <w:tmpl w:val="FBEAD9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35DE9"/>
    <w:multiLevelType w:val="hybridMultilevel"/>
    <w:tmpl w:val="EEE08C56"/>
    <w:lvl w:ilvl="0" w:tplc="95E4C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background1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64FC7"/>
    <w:multiLevelType w:val="hybridMultilevel"/>
    <w:tmpl w:val="675463F4"/>
    <w:lvl w:ilvl="0" w:tplc="EF10D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background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C0309"/>
    <w:multiLevelType w:val="hybridMultilevel"/>
    <w:tmpl w:val="0D5613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91A2A"/>
    <w:multiLevelType w:val="hybridMultilevel"/>
    <w:tmpl w:val="4DFC1D18"/>
    <w:lvl w:ilvl="0" w:tplc="993AE094">
      <w:start w:val="1"/>
      <w:numFmt w:val="bullet"/>
      <w:pStyle w:val="Bullet1"/>
      <w:lvlText w:val="—"/>
      <w:lvlJc w:val="left"/>
      <w:pPr>
        <w:ind w:left="720" w:hanging="360"/>
      </w:pPr>
      <w:rPr>
        <w:rFonts w:ascii="Arial Black" w:hAnsi="Arial Black" w:hint="default"/>
        <w:color w:val="000000" w:themeColor="background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A62A2"/>
    <w:multiLevelType w:val="hybridMultilevel"/>
    <w:tmpl w:val="EE9EA5CC"/>
    <w:lvl w:ilvl="0" w:tplc="FB48B046">
      <w:start w:val="1"/>
      <w:numFmt w:val="decimal"/>
      <w:pStyle w:val="Bullet123title"/>
      <w:lvlText w:val="%1."/>
      <w:lvlJc w:val="left"/>
      <w:pPr>
        <w:ind w:left="2062" w:hanging="360"/>
      </w:pPr>
      <w:rPr>
        <w:rFonts w:ascii="Arial" w:hAnsi="Arial" w:hint="default"/>
        <w:b/>
        <w:i w:val="0"/>
        <w:color w:val="007BFF" w:themeColor="text1"/>
      </w:rPr>
    </w:lvl>
    <w:lvl w:ilvl="1" w:tplc="040C0019">
      <w:start w:val="1"/>
      <w:numFmt w:val="lowerLetter"/>
      <w:lvlText w:val="%2."/>
      <w:lvlJc w:val="left"/>
      <w:pPr>
        <w:ind w:left="4058" w:hanging="360"/>
      </w:pPr>
    </w:lvl>
    <w:lvl w:ilvl="2" w:tplc="040C001B" w:tentative="1">
      <w:start w:val="1"/>
      <w:numFmt w:val="lowerRoman"/>
      <w:lvlText w:val="%3."/>
      <w:lvlJc w:val="right"/>
      <w:pPr>
        <w:ind w:left="4778" w:hanging="180"/>
      </w:pPr>
    </w:lvl>
    <w:lvl w:ilvl="3" w:tplc="040C000F" w:tentative="1">
      <w:start w:val="1"/>
      <w:numFmt w:val="decimal"/>
      <w:lvlText w:val="%4."/>
      <w:lvlJc w:val="left"/>
      <w:pPr>
        <w:ind w:left="5498" w:hanging="360"/>
      </w:pPr>
    </w:lvl>
    <w:lvl w:ilvl="4" w:tplc="040C0019" w:tentative="1">
      <w:start w:val="1"/>
      <w:numFmt w:val="lowerLetter"/>
      <w:lvlText w:val="%5."/>
      <w:lvlJc w:val="left"/>
      <w:pPr>
        <w:ind w:left="6218" w:hanging="360"/>
      </w:pPr>
    </w:lvl>
    <w:lvl w:ilvl="5" w:tplc="040C001B" w:tentative="1">
      <w:start w:val="1"/>
      <w:numFmt w:val="lowerRoman"/>
      <w:lvlText w:val="%6."/>
      <w:lvlJc w:val="right"/>
      <w:pPr>
        <w:ind w:left="6938" w:hanging="180"/>
      </w:pPr>
    </w:lvl>
    <w:lvl w:ilvl="6" w:tplc="040C000F" w:tentative="1">
      <w:start w:val="1"/>
      <w:numFmt w:val="decimal"/>
      <w:lvlText w:val="%7."/>
      <w:lvlJc w:val="left"/>
      <w:pPr>
        <w:ind w:left="7658" w:hanging="360"/>
      </w:pPr>
    </w:lvl>
    <w:lvl w:ilvl="7" w:tplc="040C0019" w:tentative="1">
      <w:start w:val="1"/>
      <w:numFmt w:val="lowerLetter"/>
      <w:lvlText w:val="%8."/>
      <w:lvlJc w:val="left"/>
      <w:pPr>
        <w:ind w:left="8378" w:hanging="360"/>
      </w:pPr>
    </w:lvl>
    <w:lvl w:ilvl="8" w:tplc="040C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5" w15:restartNumberingAfterBreak="0">
    <w:nsid w:val="40AA7FD9"/>
    <w:multiLevelType w:val="hybridMultilevel"/>
    <w:tmpl w:val="1BF298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62B14"/>
    <w:multiLevelType w:val="hybridMultilevel"/>
    <w:tmpl w:val="D7F0C5F8"/>
    <w:lvl w:ilvl="0" w:tplc="95E4C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background1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C4E50"/>
    <w:multiLevelType w:val="hybridMultilevel"/>
    <w:tmpl w:val="40D226B8"/>
    <w:lvl w:ilvl="0" w:tplc="EE8045C0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420CC"/>
    <w:multiLevelType w:val="hybridMultilevel"/>
    <w:tmpl w:val="A516B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81FD3"/>
    <w:multiLevelType w:val="hybridMultilevel"/>
    <w:tmpl w:val="31643F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F6582"/>
    <w:multiLevelType w:val="hybridMultilevel"/>
    <w:tmpl w:val="9F26FCAC"/>
    <w:lvl w:ilvl="0" w:tplc="C9B23B60">
      <w:start w:val="1"/>
      <w:numFmt w:val="lowerLetter"/>
      <w:pStyle w:val="Bulletabc"/>
      <w:lvlText w:val="%1."/>
      <w:lvlJc w:val="left"/>
      <w:pPr>
        <w:ind w:left="994" w:hanging="360"/>
      </w:pPr>
      <w:rPr>
        <w:rFonts w:ascii="Helvetica" w:hAnsi="Helvetica" w:hint="default"/>
        <w:b/>
        <w:i w:val="0"/>
        <w:color w:val="000000" w:themeColor="background1"/>
        <w:sz w:val="20"/>
      </w:rPr>
    </w:lvl>
    <w:lvl w:ilvl="1" w:tplc="67FA7586">
      <w:start w:val="1"/>
      <w:numFmt w:val="bullet"/>
      <w:lvlText w:val=""/>
      <w:lvlJc w:val="left"/>
      <w:pPr>
        <w:ind w:left="1714" w:hanging="360"/>
      </w:pPr>
      <w:rPr>
        <w:rFonts w:ascii="Symbol" w:hAnsi="Symbol" w:hint="default"/>
        <w:b/>
        <w:i w:val="0"/>
        <w:color w:val="007DFF" w:themeColor="accent1"/>
      </w:rPr>
    </w:lvl>
    <w:lvl w:ilvl="2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1" w15:restartNumberingAfterBreak="0">
    <w:nsid w:val="59875D41"/>
    <w:multiLevelType w:val="hybridMultilevel"/>
    <w:tmpl w:val="6534E0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B4DC1"/>
    <w:multiLevelType w:val="hybridMultilevel"/>
    <w:tmpl w:val="5B7E60DE"/>
    <w:lvl w:ilvl="0" w:tplc="F826508E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A219F"/>
    <w:multiLevelType w:val="hybridMultilevel"/>
    <w:tmpl w:val="3152637A"/>
    <w:lvl w:ilvl="0" w:tplc="93EAE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background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B27B8"/>
    <w:multiLevelType w:val="hybridMultilevel"/>
    <w:tmpl w:val="F68268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12815"/>
    <w:multiLevelType w:val="hybridMultilevel"/>
    <w:tmpl w:val="158AC724"/>
    <w:lvl w:ilvl="0" w:tplc="FA8A093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86BBE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E6A8A"/>
    <w:multiLevelType w:val="hybridMultilevel"/>
    <w:tmpl w:val="1EC020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CB0E6D"/>
    <w:multiLevelType w:val="hybridMultilevel"/>
    <w:tmpl w:val="44DE77A2"/>
    <w:lvl w:ilvl="0" w:tplc="201A0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background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71E17"/>
    <w:multiLevelType w:val="hybridMultilevel"/>
    <w:tmpl w:val="AFD2B5D0"/>
    <w:lvl w:ilvl="0" w:tplc="95E4C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background1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326C8"/>
    <w:multiLevelType w:val="hybridMultilevel"/>
    <w:tmpl w:val="1AB853BC"/>
    <w:lvl w:ilvl="0" w:tplc="B17EB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background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61DC1"/>
    <w:multiLevelType w:val="hybridMultilevel"/>
    <w:tmpl w:val="5598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B79DF"/>
    <w:multiLevelType w:val="hybridMultilevel"/>
    <w:tmpl w:val="7D9EB38A"/>
    <w:lvl w:ilvl="0" w:tplc="95E4C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background1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995493">
    <w:abstractNumId w:val="35"/>
  </w:num>
  <w:num w:numId="2" w16cid:durableId="635992341">
    <w:abstractNumId w:val="32"/>
  </w:num>
  <w:num w:numId="3" w16cid:durableId="2048794710">
    <w:abstractNumId w:val="27"/>
  </w:num>
  <w:num w:numId="4" w16cid:durableId="1829708508">
    <w:abstractNumId w:val="24"/>
  </w:num>
  <w:num w:numId="5" w16cid:durableId="435175558">
    <w:abstractNumId w:val="30"/>
  </w:num>
  <w:num w:numId="6" w16cid:durableId="1439636879">
    <w:abstractNumId w:val="16"/>
  </w:num>
  <w:num w:numId="7" w16cid:durableId="1797213110">
    <w:abstractNumId w:val="2"/>
  </w:num>
  <w:num w:numId="8" w16cid:durableId="2114587002">
    <w:abstractNumId w:val="15"/>
  </w:num>
  <w:num w:numId="9" w16cid:durableId="968777797">
    <w:abstractNumId w:val="24"/>
    <w:lvlOverride w:ilvl="0">
      <w:startOverride w:val="1"/>
    </w:lvlOverride>
  </w:num>
  <w:num w:numId="10" w16cid:durableId="603415736">
    <w:abstractNumId w:val="40"/>
  </w:num>
  <w:num w:numId="11" w16cid:durableId="783114883">
    <w:abstractNumId w:val="4"/>
  </w:num>
  <w:num w:numId="12" w16cid:durableId="68625500">
    <w:abstractNumId w:val="11"/>
  </w:num>
  <w:num w:numId="13" w16cid:durableId="758218543">
    <w:abstractNumId w:val="0"/>
  </w:num>
  <w:num w:numId="14" w16cid:durableId="418672943">
    <w:abstractNumId w:val="23"/>
  </w:num>
  <w:num w:numId="15" w16cid:durableId="357968599">
    <w:abstractNumId w:val="36"/>
  </w:num>
  <w:num w:numId="16" w16cid:durableId="1632710449">
    <w:abstractNumId w:val="1"/>
  </w:num>
  <w:num w:numId="17" w16cid:durableId="1234243329">
    <w:abstractNumId w:val="10"/>
  </w:num>
  <w:num w:numId="18" w16cid:durableId="1356535796">
    <w:abstractNumId w:val="5"/>
  </w:num>
  <w:num w:numId="19" w16cid:durableId="698286542">
    <w:abstractNumId w:val="19"/>
  </w:num>
  <w:num w:numId="20" w16cid:durableId="2064861429">
    <w:abstractNumId w:val="31"/>
  </w:num>
  <w:num w:numId="21" w16cid:durableId="725493593">
    <w:abstractNumId w:val="18"/>
  </w:num>
  <w:num w:numId="22" w16cid:durableId="840002598">
    <w:abstractNumId w:val="22"/>
  </w:num>
  <w:num w:numId="23" w16cid:durableId="1050499173">
    <w:abstractNumId w:val="7"/>
  </w:num>
  <w:num w:numId="24" w16cid:durableId="1572235936">
    <w:abstractNumId w:val="13"/>
  </w:num>
  <w:num w:numId="25" w16cid:durableId="1163469926">
    <w:abstractNumId w:val="6"/>
  </w:num>
  <w:num w:numId="26" w16cid:durableId="152529568">
    <w:abstractNumId w:val="34"/>
  </w:num>
  <w:num w:numId="27" w16cid:durableId="1206480239">
    <w:abstractNumId w:val="28"/>
  </w:num>
  <w:num w:numId="28" w16cid:durableId="2045859935">
    <w:abstractNumId w:val="25"/>
  </w:num>
  <w:num w:numId="29" w16cid:durableId="73013208">
    <w:abstractNumId w:val="37"/>
  </w:num>
  <w:num w:numId="30" w16cid:durableId="1719013975">
    <w:abstractNumId w:val="14"/>
  </w:num>
  <w:num w:numId="31" w16cid:durableId="1257595693">
    <w:abstractNumId w:val="39"/>
  </w:num>
  <w:num w:numId="32" w16cid:durableId="267545781">
    <w:abstractNumId w:val="21"/>
  </w:num>
  <w:num w:numId="33" w16cid:durableId="919023518">
    <w:abstractNumId w:val="33"/>
  </w:num>
  <w:num w:numId="34" w16cid:durableId="2084986799">
    <w:abstractNumId w:val="3"/>
  </w:num>
  <w:num w:numId="35" w16cid:durableId="2136482657">
    <w:abstractNumId w:val="8"/>
  </w:num>
  <w:num w:numId="36" w16cid:durableId="1119372883">
    <w:abstractNumId w:val="20"/>
  </w:num>
  <w:num w:numId="37" w16cid:durableId="927889012">
    <w:abstractNumId w:val="12"/>
  </w:num>
  <w:num w:numId="38" w16cid:durableId="1372539710">
    <w:abstractNumId w:val="17"/>
  </w:num>
  <w:num w:numId="39" w16cid:durableId="1460143190">
    <w:abstractNumId w:val="41"/>
  </w:num>
  <w:num w:numId="40" w16cid:durableId="1725060257">
    <w:abstractNumId w:val="38"/>
  </w:num>
  <w:num w:numId="41" w16cid:durableId="919170704">
    <w:abstractNumId w:val="26"/>
  </w:num>
  <w:num w:numId="42" w16cid:durableId="1995335860">
    <w:abstractNumId w:val="9"/>
  </w:num>
  <w:num w:numId="43" w16cid:durableId="76588380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bordersDoNotSurroundHeader/>
  <w:bordersDoNotSurroundFooter/>
  <w:hideSpellingErrors/>
  <w:hideGrammatical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92"/>
    <w:rsid w:val="00005B26"/>
    <w:rsid w:val="00005FE1"/>
    <w:rsid w:val="00015B9A"/>
    <w:rsid w:val="00020BE4"/>
    <w:rsid w:val="000222B2"/>
    <w:rsid w:val="00025D1F"/>
    <w:rsid w:val="00025E29"/>
    <w:rsid w:val="00027564"/>
    <w:rsid w:val="00031842"/>
    <w:rsid w:val="00031E2C"/>
    <w:rsid w:val="00033B5D"/>
    <w:rsid w:val="0003494A"/>
    <w:rsid w:val="00046C17"/>
    <w:rsid w:val="00066E2E"/>
    <w:rsid w:val="00066FB3"/>
    <w:rsid w:val="00073C9B"/>
    <w:rsid w:val="00076260"/>
    <w:rsid w:val="000804A3"/>
    <w:rsid w:val="00081CF0"/>
    <w:rsid w:val="00090CD6"/>
    <w:rsid w:val="0009104F"/>
    <w:rsid w:val="0009106C"/>
    <w:rsid w:val="000A3105"/>
    <w:rsid w:val="000B46FC"/>
    <w:rsid w:val="000C2AE0"/>
    <w:rsid w:val="000C3903"/>
    <w:rsid w:val="000D14D9"/>
    <w:rsid w:val="000D49B7"/>
    <w:rsid w:val="000E2DBE"/>
    <w:rsid w:val="000E33A2"/>
    <w:rsid w:val="000E3EFB"/>
    <w:rsid w:val="000E6F97"/>
    <w:rsid w:val="000F26D2"/>
    <w:rsid w:val="000F4B12"/>
    <w:rsid w:val="00100A48"/>
    <w:rsid w:val="00105633"/>
    <w:rsid w:val="001068A9"/>
    <w:rsid w:val="00110A18"/>
    <w:rsid w:val="001111BB"/>
    <w:rsid w:val="00112A3E"/>
    <w:rsid w:val="0011614F"/>
    <w:rsid w:val="001167E2"/>
    <w:rsid w:val="0012295E"/>
    <w:rsid w:val="00135A76"/>
    <w:rsid w:val="00135CA4"/>
    <w:rsid w:val="00136F6B"/>
    <w:rsid w:val="001432B7"/>
    <w:rsid w:val="00150573"/>
    <w:rsid w:val="00155E25"/>
    <w:rsid w:val="00162B26"/>
    <w:rsid w:val="00167A50"/>
    <w:rsid w:val="00170E8D"/>
    <w:rsid w:val="00185D6E"/>
    <w:rsid w:val="00186FE9"/>
    <w:rsid w:val="001934A3"/>
    <w:rsid w:val="00194940"/>
    <w:rsid w:val="0019639E"/>
    <w:rsid w:val="001C3083"/>
    <w:rsid w:val="001C30D7"/>
    <w:rsid w:val="001D001D"/>
    <w:rsid w:val="001D13F7"/>
    <w:rsid w:val="001D373D"/>
    <w:rsid w:val="001D4FAF"/>
    <w:rsid w:val="001E0D4A"/>
    <w:rsid w:val="001E7B2A"/>
    <w:rsid w:val="001F1C96"/>
    <w:rsid w:val="001F1DBB"/>
    <w:rsid w:val="001F29D9"/>
    <w:rsid w:val="001F387D"/>
    <w:rsid w:val="00200339"/>
    <w:rsid w:val="00202AF6"/>
    <w:rsid w:val="00203D45"/>
    <w:rsid w:val="00210280"/>
    <w:rsid w:val="00210D94"/>
    <w:rsid w:val="0021386A"/>
    <w:rsid w:val="0021453F"/>
    <w:rsid w:val="002169CB"/>
    <w:rsid w:val="00220931"/>
    <w:rsid w:val="00233F14"/>
    <w:rsid w:val="00240027"/>
    <w:rsid w:val="002400A4"/>
    <w:rsid w:val="002458D5"/>
    <w:rsid w:val="00263B1F"/>
    <w:rsid w:val="00265BAB"/>
    <w:rsid w:val="0026785D"/>
    <w:rsid w:val="00270284"/>
    <w:rsid w:val="00274109"/>
    <w:rsid w:val="0027423C"/>
    <w:rsid w:val="00276BA1"/>
    <w:rsid w:val="00280347"/>
    <w:rsid w:val="00281207"/>
    <w:rsid w:val="00284831"/>
    <w:rsid w:val="00285613"/>
    <w:rsid w:val="00294CAA"/>
    <w:rsid w:val="00297294"/>
    <w:rsid w:val="002A64A3"/>
    <w:rsid w:val="002A70D9"/>
    <w:rsid w:val="002B413F"/>
    <w:rsid w:val="002B5995"/>
    <w:rsid w:val="002C70CF"/>
    <w:rsid w:val="002D30A9"/>
    <w:rsid w:val="002E0FAE"/>
    <w:rsid w:val="002E230A"/>
    <w:rsid w:val="002E31D7"/>
    <w:rsid w:val="002E69AC"/>
    <w:rsid w:val="002F59F1"/>
    <w:rsid w:val="002F5AA4"/>
    <w:rsid w:val="002F79EA"/>
    <w:rsid w:val="00300E8C"/>
    <w:rsid w:val="00324CEE"/>
    <w:rsid w:val="00324DD6"/>
    <w:rsid w:val="00325812"/>
    <w:rsid w:val="00325F18"/>
    <w:rsid w:val="00331899"/>
    <w:rsid w:val="00334FE0"/>
    <w:rsid w:val="00340A8F"/>
    <w:rsid w:val="00345BBA"/>
    <w:rsid w:val="0035342B"/>
    <w:rsid w:val="003637FD"/>
    <w:rsid w:val="00367115"/>
    <w:rsid w:val="00372ED9"/>
    <w:rsid w:val="00385D56"/>
    <w:rsid w:val="00385FC7"/>
    <w:rsid w:val="003A2696"/>
    <w:rsid w:val="003A2D6C"/>
    <w:rsid w:val="003A4365"/>
    <w:rsid w:val="003A4AFA"/>
    <w:rsid w:val="003B49DA"/>
    <w:rsid w:val="003C43E7"/>
    <w:rsid w:val="003C4D6B"/>
    <w:rsid w:val="003C5FE2"/>
    <w:rsid w:val="003C6F56"/>
    <w:rsid w:val="003C7D63"/>
    <w:rsid w:val="003D1B0C"/>
    <w:rsid w:val="003E4C3E"/>
    <w:rsid w:val="003E659C"/>
    <w:rsid w:val="003F0C8D"/>
    <w:rsid w:val="003F5625"/>
    <w:rsid w:val="00411DCE"/>
    <w:rsid w:val="004139C4"/>
    <w:rsid w:val="0042225E"/>
    <w:rsid w:val="00424223"/>
    <w:rsid w:val="00425558"/>
    <w:rsid w:val="004358DE"/>
    <w:rsid w:val="004421DD"/>
    <w:rsid w:val="0044286F"/>
    <w:rsid w:val="00443AD5"/>
    <w:rsid w:val="00447E8F"/>
    <w:rsid w:val="00451115"/>
    <w:rsid w:val="00453863"/>
    <w:rsid w:val="0045547F"/>
    <w:rsid w:val="00456922"/>
    <w:rsid w:val="00457BDE"/>
    <w:rsid w:val="00460DD1"/>
    <w:rsid w:val="004733A1"/>
    <w:rsid w:val="0048226B"/>
    <w:rsid w:val="004900AE"/>
    <w:rsid w:val="004923C4"/>
    <w:rsid w:val="004B06ED"/>
    <w:rsid w:val="004B2579"/>
    <w:rsid w:val="004B280F"/>
    <w:rsid w:val="004B2CB5"/>
    <w:rsid w:val="004B7677"/>
    <w:rsid w:val="004C135E"/>
    <w:rsid w:val="004C556C"/>
    <w:rsid w:val="004C5696"/>
    <w:rsid w:val="004D071C"/>
    <w:rsid w:val="004D5AAB"/>
    <w:rsid w:val="004E3C5C"/>
    <w:rsid w:val="004F5470"/>
    <w:rsid w:val="00502E89"/>
    <w:rsid w:val="00504E87"/>
    <w:rsid w:val="00506A06"/>
    <w:rsid w:val="00516255"/>
    <w:rsid w:val="005212F2"/>
    <w:rsid w:val="00527A46"/>
    <w:rsid w:val="005428D3"/>
    <w:rsid w:val="00551F5A"/>
    <w:rsid w:val="0055363F"/>
    <w:rsid w:val="00556DA0"/>
    <w:rsid w:val="0056385B"/>
    <w:rsid w:val="005707B6"/>
    <w:rsid w:val="00571AD1"/>
    <w:rsid w:val="00580B5B"/>
    <w:rsid w:val="00585858"/>
    <w:rsid w:val="00587F9C"/>
    <w:rsid w:val="005A3059"/>
    <w:rsid w:val="005A419B"/>
    <w:rsid w:val="005A644E"/>
    <w:rsid w:val="005B2476"/>
    <w:rsid w:val="005B6593"/>
    <w:rsid w:val="005B6C81"/>
    <w:rsid w:val="005D4128"/>
    <w:rsid w:val="005E0323"/>
    <w:rsid w:val="005E5255"/>
    <w:rsid w:val="005F6B3B"/>
    <w:rsid w:val="00601A18"/>
    <w:rsid w:val="00617BDC"/>
    <w:rsid w:val="00622006"/>
    <w:rsid w:val="00623473"/>
    <w:rsid w:val="00636AA9"/>
    <w:rsid w:val="0064672D"/>
    <w:rsid w:val="00680ECD"/>
    <w:rsid w:val="00691AF1"/>
    <w:rsid w:val="006A03A1"/>
    <w:rsid w:val="006A12FF"/>
    <w:rsid w:val="006A5618"/>
    <w:rsid w:val="006A680B"/>
    <w:rsid w:val="006A7F96"/>
    <w:rsid w:val="006B2ADE"/>
    <w:rsid w:val="006B4096"/>
    <w:rsid w:val="006B6CBB"/>
    <w:rsid w:val="006B7D26"/>
    <w:rsid w:val="006D0A2D"/>
    <w:rsid w:val="006D1CCD"/>
    <w:rsid w:val="006D376A"/>
    <w:rsid w:val="006E08EE"/>
    <w:rsid w:val="006E7C8A"/>
    <w:rsid w:val="006F6E99"/>
    <w:rsid w:val="00701973"/>
    <w:rsid w:val="00713BED"/>
    <w:rsid w:val="007248E0"/>
    <w:rsid w:val="007353CC"/>
    <w:rsid w:val="007407A2"/>
    <w:rsid w:val="00747C4A"/>
    <w:rsid w:val="00751B80"/>
    <w:rsid w:val="00756101"/>
    <w:rsid w:val="007753BF"/>
    <w:rsid w:val="007776C4"/>
    <w:rsid w:val="00781468"/>
    <w:rsid w:val="0078704E"/>
    <w:rsid w:val="00790FC7"/>
    <w:rsid w:val="007A6F0E"/>
    <w:rsid w:val="007A7755"/>
    <w:rsid w:val="007B1058"/>
    <w:rsid w:val="007B152B"/>
    <w:rsid w:val="007B230F"/>
    <w:rsid w:val="007B5B65"/>
    <w:rsid w:val="007B7E6C"/>
    <w:rsid w:val="007C741C"/>
    <w:rsid w:val="007D0530"/>
    <w:rsid w:val="007D0BCB"/>
    <w:rsid w:val="007D1F1D"/>
    <w:rsid w:val="007D2D44"/>
    <w:rsid w:val="007D4EF0"/>
    <w:rsid w:val="007E0093"/>
    <w:rsid w:val="007E3EEE"/>
    <w:rsid w:val="007E730C"/>
    <w:rsid w:val="007E762B"/>
    <w:rsid w:val="007F041C"/>
    <w:rsid w:val="007F120F"/>
    <w:rsid w:val="007F7060"/>
    <w:rsid w:val="008070AD"/>
    <w:rsid w:val="008073B5"/>
    <w:rsid w:val="0081173F"/>
    <w:rsid w:val="0082383A"/>
    <w:rsid w:val="00833DE3"/>
    <w:rsid w:val="00840B04"/>
    <w:rsid w:val="00841BC9"/>
    <w:rsid w:val="008449DA"/>
    <w:rsid w:val="00847619"/>
    <w:rsid w:val="00855839"/>
    <w:rsid w:val="00867D39"/>
    <w:rsid w:val="00870D09"/>
    <w:rsid w:val="00875AD8"/>
    <w:rsid w:val="00880752"/>
    <w:rsid w:val="00885DF1"/>
    <w:rsid w:val="00887849"/>
    <w:rsid w:val="008933FA"/>
    <w:rsid w:val="00894761"/>
    <w:rsid w:val="00897133"/>
    <w:rsid w:val="00897AFC"/>
    <w:rsid w:val="008A7253"/>
    <w:rsid w:val="008B0979"/>
    <w:rsid w:val="008B38F7"/>
    <w:rsid w:val="008B6DA3"/>
    <w:rsid w:val="008B6F92"/>
    <w:rsid w:val="008C6F0E"/>
    <w:rsid w:val="008C7234"/>
    <w:rsid w:val="008D0750"/>
    <w:rsid w:val="008D0A62"/>
    <w:rsid w:val="008E2972"/>
    <w:rsid w:val="008F4CA6"/>
    <w:rsid w:val="008F7BB2"/>
    <w:rsid w:val="0090626B"/>
    <w:rsid w:val="00907CAC"/>
    <w:rsid w:val="0092130C"/>
    <w:rsid w:val="0092267A"/>
    <w:rsid w:val="00926781"/>
    <w:rsid w:val="00930089"/>
    <w:rsid w:val="00934723"/>
    <w:rsid w:val="009429AB"/>
    <w:rsid w:val="00945FD7"/>
    <w:rsid w:val="0095421F"/>
    <w:rsid w:val="00973404"/>
    <w:rsid w:val="00981D39"/>
    <w:rsid w:val="00982566"/>
    <w:rsid w:val="00997DC0"/>
    <w:rsid w:val="009A14A7"/>
    <w:rsid w:val="009A1B4C"/>
    <w:rsid w:val="009A7998"/>
    <w:rsid w:val="009B0E91"/>
    <w:rsid w:val="009B39E8"/>
    <w:rsid w:val="009C4882"/>
    <w:rsid w:val="009C63BD"/>
    <w:rsid w:val="009C6478"/>
    <w:rsid w:val="009D4641"/>
    <w:rsid w:val="009E4592"/>
    <w:rsid w:val="009F007E"/>
    <w:rsid w:val="009F0E22"/>
    <w:rsid w:val="009F431B"/>
    <w:rsid w:val="009F5411"/>
    <w:rsid w:val="009F6830"/>
    <w:rsid w:val="00A026B8"/>
    <w:rsid w:val="00A03AFF"/>
    <w:rsid w:val="00A06FD3"/>
    <w:rsid w:val="00A1594F"/>
    <w:rsid w:val="00A16BA3"/>
    <w:rsid w:val="00A2334C"/>
    <w:rsid w:val="00A37FE6"/>
    <w:rsid w:val="00A425CA"/>
    <w:rsid w:val="00A44A18"/>
    <w:rsid w:val="00A456A2"/>
    <w:rsid w:val="00A47BC3"/>
    <w:rsid w:val="00A577BC"/>
    <w:rsid w:val="00A66786"/>
    <w:rsid w:val="00A75CAF"/>
    <w:rsid w:val="00A77A05"/>
    <w:rsid w:val="00A80C77"/>
    <w:rsid w:val="00A83441"/>
    <w:rsid w:val="00A83B5C"/>
    <w:rsid w:val="00AB1A1B"/>
    <w:rsid w:val="00AC528A"/>
    <w:rsid w:val="00AC7BC8"/>
    <w:rsid w:val="00AD2825"/>
    <w:rsid w:val="00AD48FC"/>
    <w:rsid w:val="00AE006D"/>
    <w:rsid w:val="00AF3B5A"/>
    <w:rsid w:val="00AF3CD4"/>
    <w:rsid w:val="00AF4491"/>
    <w:rsid w:val="00AF46DF"/>
    <w:rsid w:val="00B00DB2"/>
    <w:rsid w:val="00B01B4A"/>
    <w:rsid w:val="00B07E52"/>
    <w:rsid w:val="00B10E6B"/>
    <w:rsid w:val="00B20144"/>
    <w:rsid w:val="00B20248"/>
    <w:rsid w:val="00B260C8"/>
    <w:rsid w:val="00B4143F"/>
    <w:rsid w:val="00B43A02"/>
    <w:rsid w:val="00B46DF9"/>
    <w:rsid w:val="00B51302"/>
    <w:rsid w:val="00B67FBC"/>
    <w:rsid w:val="00B766E8"/>
    <w:rsid w:val="00B832C0"/>
    <w:rsid w:val="00B96148"/>
    <w:rsid w:val="00B961BC"/>
    <w:rsid w:val="00B96A95"/>
    <w:rsid w:val="00BB5B44"/>
    <w:rsid w:val="00BC4006"/>
    <w:rsid w:val="00BC54FF"/>
    <w:rsid w:val="00BD77B9"/>
    <w:rsid w:val="00C0070A"/>
    <w:rsid w:val="00C05A6F"/>
    <w:rsid w:val="00C126F0"/>
    <w:rsid w:val="00C14130"/>
    <w:rsid w:val="00C15EBB"/>
    <w:rsid w:val="00C22A9D"/>
    <w:rsid w:val="00C2349C"/>
    <w:rsid w:val="00C24BAB"/>
    <w:rsid w:val="00C26B5B"/>
    <w:rsid w:val="00C357EF"/>
    <w:rsid w:val="00C462CB"/>
    <w:rsid w:val="00C51B83"/>
    <w:rsid w:val="00C575F3"/>
    <w:rsid w:val="00C63312"/>
    <w:rsid w:val="00C63EFA"/>
    <w:rsid w:val="00C659D6"/>
    <w:rsid w:val="00C703F5"/>
    <w:rsid w:val="00C80D2E"/>
    <w:rsid w:val="00C8499C"/>
    <w:rsid w:val="00C85B95"/>
    <w:rsid w:val="00C86CDD"/>
    <w:rsid w:val="00C94CA5"/>
    <w:rsid w:val="00C97655"/>
    <w:rsid w:val="00C97896"/>
    <w:rsid w:val="00CA387E"/>
    <w:rsid w:val="00CB0683"/>
    <w:rsid w:val="00CB0C14"/>
    <w:rsid w:val="00CB6202"/>
    <w:rsid w:val="00CB7647"/>
    <w:rsid w:val="00CD1F12"/>
    <w:rsid w:val="00CD2A09"/>
    <w:rsid w:val="00CE5B75"/>
    <w:rsid w:val="00CE5F2A"/>
    <w:rsid w:val="00CF07B8"/>
    <w:rsid w:val="00CF60B3"/>
    <w:rsid w:val="00CF7630"/>
    <w:rsid w:val="00D000AD"/>
    <w:rsid w:val="00D026C0"/>
    <w:rsid w:val="00D041FD"/>
    <w:rsid w:val="00D05131"/>
    <w:rsid w:val="00D15AE3"/>
    <w:rsid w:val="00D24362"/>
    <w:rsid w:val="00D24CE9"/>
    <w:rsid w:val="00D40D4D"/>
    <w:rsid w:val="00D41609"/>
    <w:rsid w:val="00D43092"/>
    <w:rsid w:val="00D45547"/>
    <w:rsid w:val="00D51377"/>
    <w:rsid w:val="00D631F7"/>
    <w:rsid w:val="00D65DA0"/>
    <w:rsid w:val="00D74067"/>
    <w:rsid w:val="00D74EED"/>
    <w:rsid w:val="00D80AB5"/>
    <w:rsid w:val="00D829D4"/>
    <w:rsid w:val="00D838E7"/>
    <w:rsid w:val="00D84D27"/>
    <w:rsid w:val="00D87E79"/>
    <w:rsid w:val="00D979EF"/>
    <w:rsid w:val="00DA4043"/>
    <w:rsid w:val="00DA5588"/>
    <w:rsid w:val="00DB01DD"/>
    <w:rsid w:val="00DB0B93"/>
    <w:rsid w:val="00DB1EDB"/>
    <w:rsid w:val="00DB5365"/>
    <w:rsid w:val="00DD3E1E"/>
    <w:rsid w:val="00DD4EEF"/>
    <w:rsid w:val="00DD550F"/>
    <w:rsid w:val="00DE18C0"/>
    <w:rsid w:val="00DF0377"/>
    <w:rsid w:val="00DF3E96"/>
    <w:rsid w:val="00DF6FD1"/>
    <w:rsid w:val="00DF7189"/>
    <w:rsid w:val="00E00CF6"/>
    <w:rsid w:val="00E10836"/>
    <w:rsid w:val="00E16C71"/>
    <w:rsid w:val="00E2096D"/>
    <w:rsid w:val="00E2271A"/>
    <w:rsid w:val="00E256F1"/>
    <w:rsid w:val="00E36B83"/>
    <w:rsid w:val="00E41CA7"/>
    <w:rsid w:val="00E430BE"/>
    <w:rsid w:val="00E50730"/>
    <w:rsid w:val="00E52DEE"/>
    <w:rsid w:val="00E77BA3"/>
    <w:rsid w:val="00E84C3A"/>
    <w:rsid w:val="00E84F04"/>
    <w:rsid w:val="00E860D5"/>
    <w:rsid w:val="00E869D4"/>
    <w:rsid w:val="00E92D99"/>
    <w:rsid w:val="00E93387"/>
    <w:rsid w:val="00E960BF"/>
    <w:rsid w:val="00EA3B6A"/>
    <w:rsid w:val="00EB073A"/>
    <w:rsid w:val="00EB0D42"/>
    <w:rsid w:val="00EB1359"/>
    <w:rsid w:val="00EB254E"/>
    <w:rsid w:val="00EC3BD2"/>
    <w:rsid w:val="00EC5A72"/>
    <w:rsid w:val="00ED4726"/>
    <w:rsid w:val="00EE55A4"/>
    <w:rsid w:val="00EF188C"/>
    <w:rsid w:val="00EF5D93"/>
    <w:rsid w:val="00EF661F"/>
    <w:rsid w:val="00F0778D"/>
    <w:rsid w:val="00F10F71"/>
    <w:rsid w:val="00F1445A"/>
    <w:rsid w:val="00F165C1"/>
    <w:rsid w:val="00F2385E"/>
    <w:rsid w:val="00F32FC1"/>
    <w:rsid w:val="00F400C4"/>
    <w:rsid w:val="00F41813"/>
    <w:rsid w:val="00F43989"/>
    <w:rsid w:val="00F53B6B"/>
    <w:rsid w:val="00F87027"/>
    <w:rsid w:val="00FA3985"/>
    <w:rsid w:val="00FA7338"/>
    <w:rsid w:val="00FA7600"/>
    <w:rsid w:val="00FB5622"/>
    <w:rsid w:val="00FB78E7"/>
    <w:rsid w:val="00FC5252"/>
    <w:rsid w:val="00FC6C61"/>
    <w:rsid w:val="00FE0A90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D713D3"/>
  <w14:defaultImageDpi w14:val="300"/>
  <w15:docId w15:val="{8043B417-B315-8943-B3C7-9BAE0281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/>
    <w:lsdException w:name="heading 4" w:locked="1" w:semiHidden="1" w:unhideWhenUsed="1" w:qFormat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 w:semiHidden="1" w:unhideWhenUsed="1"/>
    <w:lsdException w:name="List Bullet 4" w:locked="1" w:semiHidden="1" w:unhideWhenUsed="1"/>
    <w:lsdException w:name="List Bullet 5" w:lock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qFormat/>
    <w:rsid w:val="00982566"/>
    <w:pPr>
      <w:spacing w:after="120" w:line="276" w:lineRule="auto"/>
    </w:pPr>
    <w:rPr>
      <w:rFonts w:ascii="Gellix" w:eastAsia="ヒラギノ角ゴ Pro W3" w:hAnsi="Gellix"/>
      <w:color w:val="000000"/>
      <w:szCs w:val="24"/>
    </w:rPr>
  </w:style>
  <w:style w:type="paragraph" w:styleId="Rubrik1">
    <w:name w:val="heading 1"/>
    <w:aliases w:val="Subtitle"/>
    <w:basedOn w:val="Normal"/>
    <w:next w:val="Normal"/>
    <w:link w:val="Rubrik1Char"/>
    <w:locked/>
    <w:rsid w:val="00AF3CD4"/>
    <w:pPr>
      <w:keepNext/>
      <w:keepLines/>
      <w:outlineLvl w:val="0"/>
    </w:pPr>
    <w:rPr>
      <w:rFonts w:eastAsiaTheme="majorEastAsia" w:cstheme="majorBidi"/>
      <w:color w:val="86BBE6"/>
      <w:sz w:val="28"/>
      <w:szCs w:val="32"/>
    </w:rPr>
  </w:style>
  <w:style w:type="paragraph" w:styleId="Rubrik2">
    <w:name w:val="heading 2"/>
    <w:basedOn w:val="Rubrik3"/>
    <w:next w:val="Normal"/>
    <w:link w:val="Rubrik2Char"/>
    <w:unhideWhenUsed/>
    <w:qFormat/>
    <w:locked/>
    <w:rsid w:val="009F007E"/>
    <w:pPr>
      <w:spacing w:before="360"/>
      <w:outlineLvl w:val="1"/>
    </w:pPr>
    <w:rPr>
      <w:b/>
      <w:color w:val="000000" w:themeColor="background1"/>
      <w:sz w:val="26"/>
      <w:szCs w:val="26"/>
    </w:rPr>
  </w:style>
  <w:style w:type="paragraph" w:styleId="Rubrik3">
    <w:name w:val="heading 3"/>
    <w:basedOn w:val="Normal"/>
    <w:next w:val="Normal"/>
    <w:link w:val="Rubrik3Char"/>
    <w:unhideWhenUsed/>
    <w:locked/>
    <w:rsid w:val="00185D6E"/>
    <w:pPr>
      <w:keepNext/>
      <w:keepLines/>
      <w:spacing w:before="40"/>
      <w:outlineLvl w:val="2"/>
    </w:pPr>
    <w:rPr>
      <w:rFonts w:eastAsiaTheme="majorEastAsia" w:cstheme="majorBidi"/>
      <w:color w:val="007BFF" w:themeColor="text1"/>
    </w:rPr>
  </w:style>
  <w:style w:type="paragraph" w:styleId="Rubrik4">
    <w:name w:val="heading 4"/>
    <w:aliases w:val="bullet"/>
    <w:basedOn w:val="Normal"/>
    <w:next w:val="Normal"/>
    <w:link w:val="Rubrik4Char"/>
    <w:unhideWhenUsed/>
    <w:qFormat/>
    <w:locked/>
    <w:rsid w:val="009F007E"/>
    <w:pPr>
      <w:spacing w:before="280" w:after="60"/>
      <w:ind w:left="714" w:hanging="357"/>
      <w:outlineLvl w:val="3"/>
    </w:pPr>
    <w:rPr>
      <w:b/>
      <w:color w:val="000000" w:themeColor="background1"/>
    </w:rPr>
  </w:style>
  <w:style w:type="paragraph" w:styleId="Rubrik5">
    <w:name w:val="heading 5"/>
    <w:basedOn w:val="Normal"/>
    <w:next w:val="Normal"/>
    <w:link w:val="Rubrik5Char"/>
    <w:unhideWhenUsed/>
    <w:locked/>
    <w:rsid w:val="00185D6E"/>
    <w:pPr>
      <w:keepNext/>
      <w:keepLines/>
      <w:spacing w:before="40"/>
      <w:outlineLvl w:val="4"/>
    </w:pPr>
    <w:rPr>
      <w:rFonts w:eastAsiaTheme="majorEastAsia" w:cstheme="majorBidi"/>
      <w:color w:val="FF5769" w:themeColor="accent4"/>
      <w:u w:val="single"/>
    </w:rPr>
  </w:style>
  <w:style w:type="paragraph" w:styleId="Rubrik6">
    <w:name w:val="heading 6"/>
    <w:basedOn w:val="Normal"/>
    <w:next w:val="Normal"/>
    <w:link w:val="Rubrik6Char"/>
    <w:semiHidden/>
    <w:unhideWhenUsed/>
    <w:locked/>
    <w:rsid w:val="00B832C0"/>
    <w:pPr>
      <w:keepNext/>
      <w:keepLines/>
      <w:spacing w:before="40"/>
      <w:outlineLvl w:val="5"/>
    </w:pPr>
    <w:rPr>
      <w:rFonts w:eastAsiaTheme="majorEastAsia" w:cstheme="majorBidi"/>
      <w:i/>
      <w:color w:val="FF5769" w:themeColor="accent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zFooter">
    <w:name w:val="z Footer"/>
    <w:basedOn w:val="Normal"/>
    <w:qFormat/>
    <w:rsid w:val="00BC4006"/>
    <w:pPr>
      <w:spacing w:after="0"/>
      <w:jc w:val="center"/>
    </w:pPr>
    <w:rPr>
      <w:color w:val="999998" w:themeColor="accent5"/>
      <w:sz w:val="16"/>
      <w:szCs w:val="16"/>
    </w:rPr>
  </w:style>
  <w:style w:type="paragraph" w:customStyle="1" w:styleId="Bullet1">
    <w:name w:val="Bullet 1"/>
    <w:basedOn w:val="Normal"/>
    <w:qFormat/>
    <w:rsid w:val="00982566"/>
    <w:pPr>
      <w:numPr>
        <w:numId w:val="14"/>
      </w:numPr>
    </w:pPr>
    <w:rPr>
      <w:color w:val="auto"/>
    </w:rPr>
  </w:style>
  <w:style w:type="paragraph" w:customStyle="1" w:styleId="Bullet123title">
    <w:name w:val="Bullet 123 title"/>
    <w:basedOn w:val="Normal"/>
    <w:qFormat/>
    <w:rsid w:val="00982566"/>
    <w:pPr>
      <w:numPr>
        <w:numId w:val="4"/>
      </w:numPr>
      <w:spacing w:before="120" w:after="60"/>
      <w:ind w:left="714" w:hanging="357"/>
    </w:pPr>
    <w:rPr>
      <w:color w:val="auto"/>
    </w:rPr>
  </w:style>
  <w:style w:type="character" w:customStyle="1" w:styleId="Rubrik6Char">
    <w:name w:val="Rubrik 6 Char"/>
    <w:basedOn w:val="Standardstycketeckensnitt"/>
    <w:link w:val="Rubrik6"/>
    <w:semiHidden/>
    <w:rsid w:val="00B832C0"/>
    <w:rPr>
      <w:rFonts w:ascii="Arial" w:eastAsiaTheme="majorEastAsia" w:hAnsi="Arial" w:cstheme="majorBidi"/>
      <w:i/>
      <w:color w:val="FF5769" w:themeColor="accent4"/>
      <w:sz w:val="22"/>
      <w:szCs w:val="24"/>
    </w:rPr>
  </w:style>
  <w:style w:type="paragraph" w:customStyle="1" w:styleId="Address">
    <w:name w:val="Address"/>
    <w:basedOn w:val="Normal"/>
    <w:uiPriority w:val="99"/>
    <w:rsid w:val="002F59F1"/>
    <w:pPr>
      <w:tabs>
        <w:tab w:val="left" w:pos="1680"/>
      </w:tabs>
      <w:autoSpaceDE w:val="0"/>
      <w:autoSpaceDN w:val="0"/>
      <w:adjustRightInd w:val="0"/>
      <w:spacing w:line="220" w:lineRule="exact"/>
      <w:textAlignment w:val="center"/>
    </w:pPr>
    <w:rPr>
      <w:rFonts w:eastAsia="Times New Roman" w:cs="Gotham-Book"/>
      <w:spacing w:val="5"/>
      <w:sz w:val="17"/>
      <w:szCs w:val="17"/>
      <w:lang w:val="en-GB"/>
    </w:rPr>
  </w:style>
  <w:style w:type="paragraph" w:customStyle="1" w:styleId="Bulletabc">
    <w:name w:val="Bullet a b c"/>
    <w:basedOn w:val="Normal"/>
    <w:qFormat/>
    <w:rsid w:val="00982566"/>
    <w:pPr>
      <w:numPr>
        <w:numId w:val="5"/>
      </w:numPr>
      <w:spacing w:before="120"/>
    </w:pPr>
  </w:style>
  <w:style w:type="character" w:styleId="Sidnummer">
    <w:name w:val="page number"/>
    <w:basedOn w:val="Standardstycketeckensnitt"/>
    <w:semiHidden/>
    <w:unhideWhenUsed/>
    <w:locked/>
    <w:rsid w:val="00A83441"/>
  </w:style>
  <w:style w:type="paragraph" w:styleId="Liststycke">
    <w:name w:val="List Paragraph"/>
    <w:basedOn w:val="Normal"/>
    <w:uiPriority w:val="34"/>
    <w:qFormat/>
    <w:rsid w:val="000E33A2"/>
    <w:pPr>
      <w:ind w:left="720"/>
      <w:contextualSpacing/>
    </w:pPr>
  </w:style>
  <w:style w:type="character" w:styleId="Stark">
    <w:name w:val="Strong"/>
    <w:aliases w:val="Bold"/>
    <w:basedOn w:val="Standardstycketeckensnitt"/>
    <w:qFormat/>
    <w:locked/>
    <w:rsid w:val="0021453F"/>
    <w:rPr>
      <w:rFonts w:ascii="Helvetica" w:hAnsi="Helvetica"/>
      <w:b/>
      <w:bCs/>
      <w:color w:val="auto"/>
    </w:rPr>
  </w:style>
  <w:style w:type="character" w:customStyle="1" w:styleId="Rubrik5Char">
    <w:name w:val="Rubrik 5 Char"/>
    <w:basedOn w:val="Standardstycketeckensnitt"/>
    <w:link w:val="Rubrik5"/>
    <w:rsid w:val="00185D6E"/>
    <w:rPr>
      <w:rFonts w:ascii="Arial" w:eastAsiaTheme="majorEastAsia" w:hAnsi="Arial" w:cstheme="majorBidi"/>
      <w:color w:val="FF5769" w:themeColor="accent4"/>
      <w:sz w:val="22"/>
      <w:szCs w:val="24"/>
      <w:u w:val="single"/>
    </w:rPr>
  </w:style>
  <w:style w:type="paragraph" w:styleId="Rubrik">
    <w:name w:val="Title"/>
    <w:basedOn w:val="zBandoTITLE"/>
    <w:next w:val="Normal"/>
    <w:link w:val="RubrikChar"/>
    <w:qFormat/>
    <w:locked/>
    <w:rsid w:val="003637FD"/>
    <w:pPr>
      <w:spacing w:before="240" w:after="0" w:line="264" w:lineRule="auto"/>
    </w:pPr>
    <w:rPr>
      <w:b w:val="0"/>
      <w:bCs w:val="0"/>
      <w:color w:val="000000" w:themeColor="background1"/>
      <w:sz w:val="80"/>
      <w:szCs w:val="80"/>
    </w:rPr>
  </w:style>
  <w:style w:type="character" w:customStyle="1" w:styleId="RubrikChar">
    <w:name w:val="Rubrik Char"/>
    <w:basedOn w:val="Standardstycketeckensnitt"/>
    <w:link w:val="Rubrik"/>
    <w:rsid w:val="003637FD"/>
    <w:rPr>
      <w:rFonts w:ascii="Helvetica" w:eastAsia="ヒラギノ角ゴ Pro W3" w:hAnsi="Helvetica"/>
      <w:color w:val="000000" w:themeColor="background1"/>
      <w:sz w:val="80"/>
      <w:szCs w:val="80"/>
    </w:rPr>
  </w:style>
  <w:style w:type="character" w:customStyle="1" w:styleId="Rubrik1Char">
    <w:name w:val="Rubrik 1 Char"/>
    <w:aliases w:val="Subtitle Char"/>
    <w:basedOn w:val="Standardstycketeckensnitt"/>
    <w:link w:val="Rubrik1"/>
    <w:rsid w:val="00AF3CD4"/>
    <w:rPr>
      <w:rFonts w:ascii="Arial" w:eastAsiaTheme="majorEastAsia" w:hAnsi="Arial" w:cstheme="majorBidi"/>
      <w:color w:val="86BBE6"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9F007E"/>
    <w:rPr>
      <w:rFonts w:ascii="Helvetica" w:eastAsiaTheme="majorEastAsia" w:hAnsi="Helvetica" w:cstheme="majorBidi"/>
      <w:b/>
      <w:color w:val="000000" w:themeColor="background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rsid w:val="00185D6E"/>
    <w:rPr>
      <w:rFonts w:ascii="Arial" w:eastAsiaTheme="majorEastAsia" w:hAnsi="Arial" w:cstheme="majorBidi"/>
      <w:color w:val="007BFF" w:themeColor="text1"/>
      <w:sz w:val="22"/>
      <w:szCs w:val="24"/>
    </w:rPr>
  </w:style>
  <w:style w:type="character" w:customStyle="1" w:styleId="Rubrik4Char">
    <w:name w:val="Rubrik 4 Char"/>
    <w:aliases w:val="bullet Char"/>
    <w:basedOn w:val="Standardstycketeckensnitt"/>
    <w:link w:val="Rubrik4"/>
    <w:rsid w:val="009F007E"/>
    <w:rPr>
      <w:rFonts w:ascii="Helvetica" w:eastAsia="ヒラギノ角ゴ Pro W3" w:hAnsi="Helvetica"/>
      <w:b/>
      <w:color w:val="000000" w:themeColor="background1"/>
      <w:sz w:val="22"/>
      <w:szCs w:val="24"/>
    </w:rPr>
  </w:style>
  <w:style w:type="paragraph" w:styleId="Citat">
    <w:name w:val="Quote"/>
    <w:aliases w:val="&quot;Citation&quot;"/>
    <w:basedOn w:val="Normal"/>
    <w:next w:val="Normal"/>
    <w:link w:val="CitatChar"/>
    <w:uiPriority w:val="29"/>
    <w:qFormat/>
    <w:rsid w:val="009F007E"/>
    <w:pPr>
      <w:spacing w:before="200" w:after="160"/>
      <w:ind w:left="864" w:right="864"/>
      <w:jc w:val="center"/>
    </w:pPr>
    <w:rPr>
      <w:i/>
      <w:iCs/>
      <w:color w:val="000000" w:themeColor="background1"/>
    </w:rPr>
  </w:style>
  <w:style w:type="character" w:customStyle="1" w:styleId="CitatChar">
    <w:name w:val="Citat Char"/>
    <w:aliases w:val="&quot;Citation&quot; Char"/>
    <w:basedOn w:val="Standardstycketeckensnitt"/>
    <w:link w:val="Citat"/>
    <w:uiPriority w:val="29"/>
    <w:rsid w:val="009F007E"/>
    <w:rPr>
      <w:rFonts w:ascii="Helvetica" w:eastAsia="ヒラギノ角ゴ Pro W3" w:hAnsi="Helvetica"/>
      <w:i/>
      <w:iCs/>
      <w:color w:val="000000" w:themeColor="background1"/>
      <w:sz w:val="22"/>
      <w:szCs w:val="24"/>
    </w:rPr>
  </w:style>
  <w:style w:type="paragraph" w:customStyle="1" w:styleId="Bullet2">
    <w:name w:val="Bullet 2"/>
    <w:basedOn w:val="Normal"/>
    <w:qFormat/>
    <w:rsid w:val="00982566"/>
    <w:pPr>
      <w:numPr>
        <w:numId w:val="16"/>
      </w:numPr>
    </w:pPr>
  </w:style>
  <w:style w:type="paragraph" w:styleId="Sidhuvud">
    <w:name w:val="header"/>
    <w:basedOn w:val="Normal"/>
    <w:link w:val="SidhuvudChar"/>
    <w:unhideWhenUsed/>
    <w:locked/>
    <w:rsid w:val="00D40D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40D4D"/>
    <w:rPr>
      <w:rFonts w:ascii="Arial" w:eastAsia="ヒラギノ角ゴ Pro W3" w:hAnsi="Arial"/>
      <w:color w:val="000000"/>
      <w:sz w:val="22"/>
      <w:szCs w:val="24"/>
    </w:rPr>
  </w:style>
  <w:style w:type="paragraph" w:customStyle="1" w:styleId="xmsolistparagraph">
    <w:name w:val="x_msolistparagraph"/>
    <w:basedOn w:val="Normal"/>
    <w:rsid w:val="00A06FD3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fr-FR" w:eastAsia="fr-FR"/>
    </w:rPr>
  </w:style>
  <w:style w:type="paragraph" w:customStyle="1" w:styleId="1BulletTitle">
    <w:name w:val="1 Bullet Title"/>
    <w:qFormat/>
    <w:rsid w:val="00982566"/>
    <w:pPr>
      <w:numPr>
        <w:numId w:val="8"/>
      </w:numPr>
      <w:spacing w:before="360" w:after="120"/>
    </w:pPr>
    <w:rPr>
      <w:rFonts w:ascii="Gellix SemiBold" w:eastAsia="ヒラギノ角ゴ Pro W3" w:hAnsi="Gellix SemiBold"/>
      <w:b/>
      <w:color w:val="000000" w:themeColor="background1"/>
      <w:sz w:val="24"/>
      <w:szCs w:val="24"/>
    </w:rPr>
  </w:style>
  <w:style w:type="paragraph" w:customStyle="1" w:styleId="bullet3">
    <w:name w:val="bullet 3"/>
    <w:basedOn w:val="Normal"/>
    <w:qFormat/>
    <w:rsid w:val="00982566"/>
    <w:pPr>
      <w:numPr>
        <w:ilvl w:val="1"/>
        <w:numId w:val="7"/>
      </w:numPr>
      <w:ind w:left="1494"/>
    </w:pPr>
  </w:style>
  <w:style w:type="paragraph" w:customStyle="1" w:styleId="zBandoTalkingPoints">
    <w:name w:val="zBando Talking Points"/>
    <w:qFormat/>
    <w:rsid w:val="005B2476"/>
    <w:pPr>
      <w:spacing w:line="288" w:lineRule="auto"/>
    </w:pPr>
    <w:rPr>
      <w:rFonts w:ascii="Arial" w:eastAsia="ヒラギノ角ゴ Pro W3" w:hAnsi="Arial"/>
      <w:color w:val="000000" w:themeColor="background1"/>
      <w:sz w:val="24"/>
      <w:szCs w:val="24"/>
    </w:rPr>
  </w:style>
  <w:style w:type="paragraph" w:customStyle="1" w:styleId="zBandoTITLE">
    <w:name w:val="zBando TITLE"/>
    <w:basedOn w:val="Normal"/>
    <w:qFormat/>
    <w:rsid w:val="006E7C8A"/>
    <w:pPr>
      <w:spacing w:line="288" w:lineRule="auto"/>
    </w:pPr>
    <w:rPr>
      <w:b/>
      <w:bCs/>
      <w:color w:val="FFFFFF"/>
      <w:sz w:val="24"/>
    </w:rPr>
  </w:style>
  <w:style w:type="paragraph" w:customStyle="1" w:styleId="zBandoDateandPlace">
    <w:name w:val="zBando Date and Place"/>
    <w:basedOn w:val="Normal"/>
    <w:qFormat/>
    <w:rsid w:val="006E7C8A"/>
    <w:pPr>
      <w:spacing w:line="288" w:lineRule="auto"/>
    </w:pPr>
    <w:rPr>
      <w:color w:val="FFFFFF"/>
      <w:szCs w:val="20"/>
    </w:rPr>
  </w:style>
  <w:style w:type="paragraph" w:customStyle="1" w:styleId="SubTitle">
    <w:name w:val="Sub Title"/>
    <w:basedOn w:val="Rubrik2"/>
    <w:link w:val="SubTitleCar"/>
    <w:qFormat/>
    <w:rsid w:val="00453863"/>
    <w:pPr>
      <w:spacing w:before="0"/>
    </w:pPr>
    <w:rPr>
      <w:sz w:val="36"/>
      <w:szCs w:val="36"/>
    </w:rPr>
  </w:style>
  <w:style w:type="character" w:customStyle="1" w:styleId="SubTitleCar">
    <w:name w:val="Sub Title Car"/>
    <w:basedOn w:val="Rubrik2Char"/>
    <w:link w:val="SubTitle"/>
    <w:rsid w:val="00453863"/>
    <w:rPr>
      <w:rFonts w:ascii="Helvetica" w:eastAsiaTheme="majorEastAsia" w:hAnsi="Helvetica" w:cstheme="majorBidi"/>
      <w:b/>
      <w:color w:val="000000" w:themeColor="background1"/>
      <w:sz w:val="36"/>
      <w:szCs w:val="36"/>
    </w:rPr>
  </w:style>
  <w:style w:type="paragraph" w:customStyle="1" w:styleId="Default">
    <w:name w:val="Default"/>
    <w:rsid w:val="004358D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358DE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</w:rPr>
  </w:style>
  <w:style w:type="character" w:customStyle="1" w:styleId="normaltextrun">
    <w:name w:val="normaltextrun"/>
    <w:basedOn w:val="Standardstycketeckensnitt"/>
    <w:rsid w:val="004358DE"/>
  </w:style>
  <w:style w:type="character" w:customStyle="1" w:styleId="eop">
    <w:name w:val="eop"/>
    <w:basedOn w:val="Standardstycketeckensnitt"/>
    <w:rsid w:val="004358DE"/>
  </w:style>
  <w:style w:type="paragraph" w:customStyle="1" w:styleId="Subbullet">
    <w:name w:val="Sub bullet"/>
    <w:basedOn w:val="1BulletTitle"/>
    <w:qFormat/>
    <w:rsid w:val="001934A3"/>
    <w:pPr>
      <w:spacing w:before="120" w:after="115"/>
    </w:pPr>
    <w:rPr>
      <w:b w:val="0"/>
      <w:bCs/>
    </w:rPr>
  </w:style>
  <w:style w:type="table" w:styleId="Tabellrutnt">
    <w:name w:val="Table Grid"/>
    <w:basedOn w:val="Normaltabell"/>
    <w:locked/>
    <w:rsid w:val="009A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title">
    <w:name w:val="Session title"/>
    <w:basedOn w:val="Normal"/>
    <w:qFormat/>
    <w:rsid w:val="009F007E"/>
    <w:pPr>
      <w:spacing w:after="200"/>
      <w:ind w:left="2130" w:hanging="2130"/>
    </w:pPr>
    <w:rPr>
      <w:rFonts w:ascii="Gotham Medium" w:eastAsia="Calibri" w:hAnsi="Gotham Medium" w:cs="Arial"/>
      <w:color w:val="000000" w:themeColor="background1"/>
      <w:sz w:val="24"/>
      <w:lang w:val="en-GB"/>
    </w:rPr>
  </w:style>
  <w:style w:type="paragraph" w:customStyle="1" w:styleId="Aucunstyle">
    <w:name w:val="[Aucun style]"/>
    <w:rsid w:val="006B7D2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paragraph" w:styleId="Fotnotstext">
    <w:name w:val="footnote text"/>
    <w:basedOn w:val="Normal"/>
    <w:link w:val="FotnotstextChar"/>
    <w:uiPriority w:val="99"/>
    <w:semiHidden/>
    <w:unhideWhenUsed/>
    <w:locked/>
    <w:rsid w:val="006A12FF"/>
    <w:pPr>
      <w:spacing w:after="0" w:line="240" w:lineRule="auto"/>
    </w:pPr>
    <w:rPr>
      <w:rFonts w:asciiTheme="minorHAnsi" w:eastAsiaTheme="minorEastAsia" w:hAnsiTheme="minorHAnsi" w:cstheme="minorBidi"/>
      <w:color w:val="auto"/>
      <w:szCs w:val="20"/>
      <w:lang w:val="en-GB" w:eastAsia="zh-CN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A12FF"/>
    <w:rPr>
      <w:rFonts w:asciiTheme="minorHAnsi" w:eastAsiaTheme="minorEastAsia" w:hAnsiTheme="minorHAnsi" w:cstheme="minorBidi"/>
      <w:lang w:val="en-GB" w:eastAsia="zh-CN"/>
    </w:rPr>
  </w:style>
  <w:style w:type="character" w:styleId="Fotnotsreferens">
    <w:name w:val="footnote reference"/>
    <w:basedOn w:val="Standardstycketeckensnitt"/>
    <w:uiPriority w:val="99"/>
    <w:semiHidden/>
    <w:unhideWhenUsed/>
    <w:locked/>
    <w:rsid w:val="006A12FF"/>
    <w:rPr>
      <w:vertAlign w:val="superscript"/>
    </w:rPr>
  </w:style>
  <w:style w:type="character" w:styleId="Hyperlnk">
    <w:name w:val="Hyperlink"/>
    <w:basedOn w:val="Standardstycketeckensnitt"/>
    <w:unhideWhenUsed/>
    <w:locked/>
    <w:rsid w:val="001D4FAF"/>
    <w:rPr>
      <w:color w:val="007DFF" w:themeColor="hyperlink"/>
      <w:u w:val="single"/>
    </w:rPr>
  </w:style>
  <w:style w:type="character" w:styleId="Olstomnmnande">
    <w:name w:val="Unresolved Mention"/>
    <w:basedOn w:val="Standardstycketeckensnitt"/>
    <w:rsid w:val="001D4FA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locked/>
    <w:rsid w:val="001F29D9"/>
    <w:rPr>
      <w:color w:val="003493" w:themeColor="followedHyperlink"/>
      <w:u w:val="single"/>
    </w:rPr>
  </w:style>
  <w:style w:type="paragraph" w:styleId="Sidfot">
    <w:name w:val="footer"/>
    <w:basedOn w:val="Normal"/>
    <w:link w:val="SidfotChar"/>
    <w:semiHidden/>
    <w:unhideWhenUsed/>
    <w:locked/>
    <w:rsid w:val="006D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semiHidden/>
    <w:rsid w:val="006D0A2D"/>
    <w:rPr>
      <w:rFonts w:ascii="Gellix" w:eastAsia="ヒラギノ角ゴ Pro W3" w:hAnsi="Gellix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fred.ram@icc.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henrik.blomqvist@icc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c.se/wp-content/uploads/2022/02/ICCSE_prioriteringar2022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aineeiccsweden/Library/Group%20Containers/UBF8T346G9.Office/User%20Content.localized/Templates.localized/ICC%20Letterhead.dotx" TargetMode="External"/></Relationships>
</file>

<file path=word/theme/theme1.xml><?xml version="1.0" encoding="utf-8"?>
<a:theme xmlns:a="http://schemas.openxmlformats.org/drawingml/2006/main" name="Office Theme">
  <a:themeElements>
    <a:clrScheme name="WE ARE ICC">
      <a:dk1>
        <a:srgbClr val="007BFF"/>
      </a:dk1>
      <a:lt1>
        <a:srgbClr val="000000"/>
      </a:lt1>
      <a:dk2>
        <a:srgbClr val="FFFFFF"/>
      </a:dk2>
      <a:lt2>
        <a:srgbClr val="007BFF"/>
      </a:lt2>
      <a:accent1>
        <a:srgbClr val="007DFF"/>
      </a:accent1>
      <a:accent2>
        <a:srgbClr val="00BC00"/>
      </a:accent2>
      <a:accent3>
        <a:srgbClr val="853DE5"/>
      </a:accent3>
      <a:accent4>
        <a:srgbClr val="FF5769"/>
      </a:accent4>
      <a:accent5>
        <a:srgbClr val="999998"/>
      </a:accent5>
      <a:accent6>
        <a:srgbClr val="382F2C"/>
      </a:accent6>
      <a:hlink>
        <a:srgbClr val="007DFF"/>
      </a:hlink>
      <a:folHlink>
        <a:srgbClr val="003493"/>
      </a:folHlink>
    </a:clrScheme>
    <a:fontScheme name="HELVETICA">
      <a:majorFont>
        <a:latin typeface="Helvetica regular"/>
        <a:ea typeface=""/>
        <a:cs typeface=""/>
      </a:majorFont>
      <a:minorFont>
        <a:latin typeface="Helvetica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CD8AE9B02F834195A39A8818C62C25" ma:contentTypeVersion="14" ma:contentTypeDescription="Skapa ett nytt dokument." ma:contentTypeScope="" ma:versionID="bcf44bd2004762a9489ce0e46ab11605">
  <xsd:schema xmlns:xsd="http://www.w3.org/2001/XMLSchema" xmlns:xs="http://www.w3.org/2001/XMLSchema" xmlns:p="http://schemas.microsoft.com/office/2006/metadata/properties" xmlns:ns2="b46b9808-7eec-4557-8a10-cd7b08f26e01" xmlns:ns3="accf3299-9573-4a58-beeb-36e55a0a02b7" targetNamespace="http://schemas.microsoft.com/office/2006/metadata/properties" ma:root="true" ma:fieldsID="6867e810036b9e8e153587add2d39fbe" ns2:_="" ns3:_="">
    <xsd:import namespace="b46b9808-7eec-4557-8a10-cd7b08f26e01"/>
    <xsd:import namespace="accf3299-9573-4a58-beeb-36e55a0a0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b9808-7eec-4557-8a10-cd7b08f26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05e4c55e-88cb-4eed-b3cd-b87cde6875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3299-9573-4a58-beeb-36e55a0a02b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c39796-daf0-44f0-9bdc-1b952d1d5c8a}" ma:internalName="TaxCatchAll" ma:showField="CatchAllData" ma:web="accf3299-9573-4a58-beeb-36e55a0a0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cf3299-9573-4a58-beeb-36e55a0a02b7" xsi:nil="true"/>
    <lcf76f155ced4ddcb4097134ff3c332f xmlns="b46b9808-7eec-4557-8a10-cd7b08f26e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9E6B1B-9DD7-458C-9A9E-C7A023B42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F968E-0C07-334B-A439-662D834A67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52F0A8-E7BD-4105-A52C-86C615A1C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b9808-7eec-4557-8a10-cd7b08f26e01"/>
    <ds:schemaRef ds:uri="accf3299-9573-4a58-beeb-36e55a0a0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8D1F5-1C0F-476E-B981-7C7E10CED06E}">
  <ds:schemaRefs>
    <ds:schemaRef ds:uri="http://schemas.microsoft.com/office/2006/metadata/properties"/>
    <ds:schemaRef ds:uri="http://schemas.microsoft.com/office/infopath/2007/PartnerControls"/>
    <ds:schemaRef ds:uri="accf3299-9573-4a58-beeb-36e55a0a02b7"/>
    <ds:schemaRef ds:uri="b46b9808-7eec-4557-8a10-cd7b08f26e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ICC Letterhead.dotx</Template>
  <TotalTime>6</TotalTime>
  <Pages>1</Pages>
  <Words>1058</Words>
  <Characters>5611</Characters>
  <Application>Microsoft Office Word</Application>
  <DocSecurity>4</DocSecurity>
  <Lines>46</Lines>
  <Paragraphs>13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ICC Letterhead</vt:lpstr>
      <vt:lpstr>ICC Letterhead</vt:lpstr>
      <vt:lpstr>ICC Letterhead</vt:lpstr>
    </vt:vector>
  </TitlesOfParts>
  <Company/>
  <LinksUpToDate>false</LinksUpToDate>
  <CharactersWithSpaces>6656</CharactersWithSpaces>
  <SharedDoc>false</SharedDoc>
  <HLinks>
    <vt:vector size="18" baseType="variant">
      <vt:variant>
        <vt:i4>2555990</vt:i4>
      </vt:variant>
      <vt:variant>
        <vt:i4>6</vt:i4>
      </vt:variant>
      <vt:variant>
        <vt:i4>0</vt:i4>
      </vt:variant>
      <vt:variant>
        <vt:i4>5</vt:i4>
      </vt:variant>
      <vt:variant>
        <vt:lpwstr>mailto:alfred.ram@icc.se</vt:lpwstr>
      </vt:variant>
      <vt:variant>
        <vt:lpwstr/>
      </vt:variant>
      <vt:variant>
        <vt:i4>5177390</vt:i4>
      </vt:variant>
      <vt:variant>
        <vt:i4>3</vt:i4>
      </vt:variant>
      <vt:variant>
        <vt:i4>0</vt:i4>
      </vt:variant>
      <vt:variant>
        <vt:i4>5</vt:i4>
      </vt:variant>
      <vt:variant>
        <vt:lpwstr>mailto:henrik.blomqvist@icc.se</vt:lpwstr>
      </vt:variant>
      <vt:variant>
        <vt:lpwstr/>
      </vt:variant>
      <vt:variant>
        <vt:i4>4587563</vt:i4>
      </vt:variant>
      <vt:variant>
        <vt:i4>0</vt:i4>
      </vt:variant>
      <vt:variant>
        <vt:i4>0</vt:i4>
      </vt:variant>
      <vt:variant>
        <vt:i4>5</vt:i4>
      </vt:variant>
      <vt:variant>
        <vt:lpwstr>https://icc.se/wp-content/uploads/2022/02/ICCSE_prioriteringar2022.pdf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Letterhead</dc:title>
  <dc:subject/>
  <dc:creator>Microsoft Office User</dc:creator>
  <cp:keywords/>
  <cp:lastModifiedBy>Alfred Ram</cp:lastModifiedBy>
  <cp:revision>10</cp:revision>
  <cp:lastPrinted>2022-12-07T12:51:00Z</cp:lastPrinted>
  <dcterms:created xsi:type="dcterms:W3CDTF">2022-12-07T13:47:00Z</dcterms:created>
  <dcterms:modified xsi:type="dcterms:W3CDTF">2022-12-07T13:56:00Z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0x010100A3CD8AE9B02F834195A39A8818C62C25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dlc_policyId">
    <vt:lpwstr>0x01010040BB9D21FF7C414DBAE17BB9C7DADD2E|-1315905429</vt:lpwstr>
  </property>
  <property fmtid="{D5CDD505-2E9C-101B-9397-08002B2CF9AE}" pid="6" name="ItemRetentionFormula">
    <vt:lpwstr>&lt;formula id="Microsoft.Office.RecordsManagement.PolicyFeatures.Expiration.Formula.BuiltIn"&gt;&lt;number&gt;6&lt;/number&gt;&lt;property&gt;Modified&lt;/property&gt;&lt;propertyId&gt;28cf69c5-fa48-462a-b5cd-27b6f9d2bd5f&lt;/propertyId&gt;&lt;period&gt;months&lt;/period&gt;&lt;/formula&gt;</vt:lpwstr>
  </property>
  <property fmtid="{D5CDD505-2E9C-101B-9397-08002B2CF9AE}" pid="7" name="_dlc_DocIdItemGuid">
    <vt:lpwstr>a73a0d94-099e-48ad-b46f-4719d87c47fa</vt:lpwstr>
  </property>
</Properties>
</file>