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F5EB" w14:textId="5838DFDC" w:rsidR="00967CA1" w:rsidRPr="00482D35" w:rsidRDefault="00967CA1" w:rsidP="00482D35">
      <w:pPr>
        <w:spacing w:line="276" w:lineRule="auto"/>
        <w:rPr>
          <w:rFonts w:ascii="Gellix" w:hAnsi="Gellix"/>
          <w:color w:val="007DFF"/>
          <w:sz w:val="28"/>
          <w:szCs w:val="28"/>
          <w:lang w:val="en-GB"/>
        </w:rPr>
      </w:pPr>
      <w:r w:rsidRPr="002F18B7">
        <w:rPr>
          <w:rFonts w:ascii="Gellix" w:hAnsi="Gellix"/>
          <w:color w:val="007DFF"/>
          <w:sz w:val="28"/>
          <w:szCs w:val="28"/>
          <w:highlight w:val="yellow"/>
          <w:lang w:val="en-GB"/>
        </w:rPr>
        <w:t>Draft</w:t>
      </w:r>
      <w:r w:rsidRPr="00482D35">
        <w:rPr>
          <w:rFonts w:ascii="Gellix" w:hAnsi="Gellix"/>
          <w:color w:val="007DFF"/>
          <w:sz w:val="28"/>
          <w:szCs w:val="28"/>
          <w:lang w:val="en-GB"/>
        </w:rPr>
        <w:t xml:space="preserve"> ICC Sweden Paper on Tax Policy and Sustainability</w:t>
      </w:r>
    </w:p>
    <w:p w14:paraId="4CEB45DF" w14:textId="6DFFB007" w:rsidR="00967CA1" w:rsidRDefault="00967CA1" w:rsidP="00482D35">
      <w:pPr>
        <w:spacing w:line="276" w:lineRule="auto"/>
        <w:rPr>
          <w:rFonts w:ascii="Gellix" w:hAnsi="Gellix"/>
          <w:color w:val="000000" w:themeColor="text1"/>
          <w:sz w:val="22"/>
          <w:szCs w:val="22"/>
          <w:lang w:val="en-GB"/>
        </w:rPr>
      </w:pPr>
    </w:p>
    <w:p w14:paraId="5DF8BAB3" w14:textId="4449E7BE" w:rsidR="00E97ADA" w:rsidRDefault="00967CA1" w:rsidP="00482D35">
      <w:pPr>
        <w:spacing w:line="276" w:lineRule="auto"/>
        <w:rPr>
          <w:rFonts w:ascii="Gellix" w:hAnsi="Gellix"/>
          <w:color w:val="000000" w:themeColor="text1"/>
          <w:sz w:val="22"/>
          <w:szCs w:val="22"/>
          <w:lang w:val="en-GB"/>
        </w:rPr>
      </w:pPr>
      <w:r>
        <w:rPr>
          <w:rFonts w:ascii="Gellix" w:hAnsi="Gellix"/>
          <w:color w:val="000000" w:themeColor="text1"/>
          <w:sz w:val="22"/>
          <w:szCs w:val="22"/>
          <w:lang w:val="en-GB"/>
        </w:rPr>
        <w:t xml:space="preserve">Amid an increasing number of global challenges, addressing the ongoing climate crisis remains one of the foremost long-term issues for the global community. </w:t>
      </w:r>
      <w:r w:rsidR="00E97ADA">
        <w:rPr>
          <w:rFonts w:ascii="Gellix" w:hAnsi="Gellix"/>
          <w:color w:val="000000" w:themeColor="text1"/>
          <w:sz w:val="22"/>
          <w:szCs w:val="22"/>
          <w:lang w:val="en-GB"/>
        </w:rPr>
        <w:t>The 2022 IPCC report on mitigation on climate change indicates that</w:t>
      </w:r>
      <w:r w:rsidR="00F4727C">
        <w:rPr>
          <w:rFonts w:ascii="Gellix" w:hAnsi="Gellix"/>
          <w:color w:val="000000" w:themeColor="text1"/>
          <w:sz w:val="22"/>
          <w:szCs w:val="22"/>
          <w:lang w:val="en-GB"/>
        </w:rPr>
        <w:t>,</w:t>
      </w:r>
      <w:r w:rsidR="00E97ADA">
        <w:rPr>
          <w:rFonts w:ascii="Gellix" w:hAnsi="Gellix"/>
          <w:color w:val="000000" w:themeColor="text1"/>
          <w:sz w:val="22"/>
          <w:szCs w:val="22"/>
          <w:lang w:val="en-GB"/>
        </w:rPr>
        <w:t xml:space="preserve"> should </w:t>
      </w:r>
      <w:r w:rsidR="004D6951">
        <w:rPr>
          <w:rFonts w:ascii="Gellix" w:hAnsi="Gellix"/>
          <w:color w:val="000000" w:themeColor="text1"/>
          <w:sz w:val="22"/>
          <w:szCs w:val="22"/>
          <w:lang w:val="en-GB"/>
        </w:rPr>
        <w:t xml:space="preserve">the </w:t>
      </w:r>
      <w:r w:rsidR="00E97ADA">
        <w:rPr>
          <w:rFonts w:ascii="Gellix" w:hAnsi="Gellix"/>
          <w:color w:val="000000" w:themeColor="text1"/>
          <w:sz w:val="22"/>
          <w:szCs w:val="22"/>
          <w:lang w:val="en-GB"/>
        </w:rPr>
        <w:t>current levels of emission continue</w:t>
      </w:r>
      <w:r w:rsidR="004D6951">
        <w:rPr>
          <w:rFonts w:ascii="Gellix" w:hAnsi="Gellix"/>
          <w:color w:val="000000" w:themeColor="text1"/>
          <w:sz w:val="22"/>
          <w:szCs w:val="22"/>
          <w:lang w:val="en-GB"/>
        </w:rPr>
        <w:t xml:space="preserve"> for another decade</w:t>
      </w:r>
      <w:r w:rsidR="00E97ADA">
        <w:rPr>
          <w:rFonts w:ascii="Gellix" w:hAnsi="Gellix"/>
          <w:color w:val="000000" w:themeColor="text1"/>
          <w:sz w:val="22"/>
          <w:szCs w:val="22"/>
          <w:lang w:val="en-GB"/>
        </w:rPr>
        <w:t xml:space="preserve">, </w:t>
      </w:r>
      <w:r w:rsidR="00C268A7">
        <w:rPr>
          <w:rFonts w:ascii="Gellix" w:hAnsi="Gellix"/>
          <w:color w:val="000000" w:themeColor="text1"/>
          <w:sz w:val="22"/>
          <w:szCs w:val="22"/>
          <w:lang w:val="en-GB"/>
        </w:rPr>
        <w:t>the goal set by the</w:t>
      </w:r>
      <w:r w:rsidR="004D6951">
        <w:rPr>
          <w:rFonts w:ascii="Gellix" w:hAnsi="Gellix"/>
          <w:color w:val="000000" w:themeColor="text1"/>
          <w:sz w:val="22"/>
          <w:szCs w:val="22"/>
          <w:lang w:val="en-GB"/>
        </w:rPr>
        <w:t xml:space="preserve"> Paris Agreement to try to limit the global temperature increase to </w:t>
      </w:r>
      <w:r w:rsidR="004D6951" w:rsidRPr="004D6951">
        <w:rPr>
          <w:rFonts w:ascii="Gellix" w:hAnsi="Gellix"/>
          <w:color w:val="000000" w:themeColor="text1"/>
          <w:sz w:val="22"/>
          <w:szCs w:val="22"/>
          <w:lang w:val="en-GB"/>
        </w:rPr>
        <w:t>1.5°C</w:t>
      </w:r>
      <w:r w:rsidR="004D6951">
        <w:rPr>
          <w:rFonts w:ascii="Gellix" w:hAnsi="Gellix"/>
          <w:color w:val="000000" w:themeColor="text1"/>
          <w:sz w:val="22"/>
          <w:szCs w:val="22"/>
          <w:lang w:val="en-GB"/>
        </w:rPr>
        <w:t xml:space="preserve"> above pre-industrial levels would be out of reach.</w:t>
      </w:r>
      <w:r w:rsidR="004D6951">
        <w:rPr>
          <w:rStyle w:val="Fotnotsreferens"/>
          <w:rFonts w:ascii="Gellix" w:hAnsi="Gellix"/>
          <w:color w:val="000000" w:themeColor="text1"/>
          <w:sz w:val="22"/>
          <w:szCs w:val="22"/>
          <w:lang w:val="en-GB"/>
        </w:rPr>
        <w:footnoteReference w:id="2"/>
      </w:r>
      <w:r w:rsidR="004D6951">
        <w:rPr>
          <w:rFonts w:ascii="Gellix" w:hAnsi="Gellix"/>
          <w:color w:val="000000" w:themeColor="text1"/>
          <w:sz w:val="22"/>
          <w:szCs w:val="22"/>
          <w:lang w:val="en-GB"/>
        </w:rPr>
        <w:t xml:space="preserve"> In order to keep the target alive, concrete actions need to be taken by all sectors of society. The global business community, as drivers of innovation, technological development, and the decarbonisation of global value chains, has a key role to play in this regard. </w:t>
      </w:r>
      <w:r w:rsidR="00C62960">
        <w:rPr>
          <w:rFonts w:ascii="Gellix" w:hAnsi="Gellix"/>
          <w:color w:val="000000" w:themeColor="text1"/>
          <w:sz w:val="22"/>
          <w:szCs w:val="22"/>
          <w:lang w:val="en-GB"/>
        </w:rPr>
        <w:t>Businesses increasingly see s</w:t>
      </w:r>
      <w:r w:rsidR="00F84298">
        <w:rPr>
          <w:rFonts w:ascii="Gellix" w:hAnsi="Gellix"/>
          <w:color w:val="000000" w:themeColor="text1"/>
          <w:sz w:val="22"/>
          <w:szCs w:val="22"/>
          <w:lang w:val="en-GB"/>
        </w:rPr>
        <w:t>ustainability</w:t>
      </w:r>
      <w:r w:rsidR="00C62960">
        <w:rPr>
          <w:rFonts w:ascii="Gellix" w:hAnsi="Gellix"/>
          <w:color w:val="000000" w:themeColor="text1"/>
          <w:sz w:val="22"/>
          <w:szCs w:val="22"/>
          <w:lang w:val="en-GB"/>
        </w:rPr>
        <w:t xml:space="preserve"> as a board-level priority</w:t>
      </w:r>
      <w:r w:rsidR="00F84298">
        <w:rPr>
          <w:rFonts w:ascii="Gellix" w:hAnsi="Gellix"/>
          <w:color w:val="000000" w:themeColor="text1"/>
          <w:sz w:val="22"/>
          <w:szCs w:val="22"/>
          <w:lang w:val="en-GB"/>
        </w:rPr>
        <w:t xml:space="preserve"> </w:t>
      </w:r>
      <w:r w:rsidR="009A29EE">
        <w:rPr>
          <w:rFonts w:ascii="Gellix" w:hAnsi="Gellix"/>
          <w:color w:val="000000" w:themeColor="text1"/>
          <w:sz w:val="22"/>
          <w:szCs w:val="22"/>
          <w:lang w:val="en-GB"/>
        </w:rPr>
        <w:t>and</w:t>
      </w:r>
      <w:r w:rsidR="00C62960">
        <w:rPr>
          <w:rFonts w:ascii="Gellix" w:hAnsi="Gellix"/>
          <w:color w:val="000000" w:themeColor="text1"/>
          <w:sz w:val="22"/>
          <w:szCs w:val="22"/>
          <w:lang w:val="en-GB"/>
        </w:rPr>
        <w:t xml:space="preserve"> a lack of sustainability </w:t>
      </w:r>
      <w:r w:rsidR="009A29EE">
        <w:rPr>
          <w:rFonts w:ascii="Gellix" w:hAnsi="Gellix"/>
          <w:color w:val="000000" w:themeColor="text1"/>
          <w:sz w:val="22"/>
          <w:szCs w:val="22"/>
          <w:lang w:val="en-GB"/>
        </w:rPr>
        <w:t>thinking can</w:t>
      </w:r>
      <w:r w:rsidR="00C62960">
        <w:rPr>
          <w:rFonts w:ascii="Gellix" w:hAnsi="Gellix"/>
          <w:color w:val="000000" w:themeColor="text1"/>
          <w:sz w:val="22"/>
          <w:szCs w:val="22"/>
          <w:lang w:val="en-GB"/>
        </w:rPr>
        <w:t xml:space="preserve"> have negative consequences for companies' profits, stock prices and ability to recruit talents etc. </w:t>
      </w:r>
      <w:r w:rsidR="002F18B7">
        <w:rPr>
          <w:rFonts w:ascii="Gellix" w:hAnsi="Gellix"/>
          <w:color w:val="000000" w:themeColor="text1"/>
          <w:sz w:val="22"/>
          <w:szCs w:val="22"/>
          <w:lang w:val="en-GB"/>
        </w:rPr>
        <w:t xml:space="preserve">However, to provide businesses with the opportunities and incentives to accelerate their efforts as well as to steer financial flows and investments towards sustainable solutions, it </w:t>
      </w:r>
      <w:r w:rsidR="004D6951">
        <w:rPr>
          <w:rFonts w:ascii="Gellix" w:hAnsi="Gellix"/>
          <w:color w:val="000000" w:themeColor="text1"/>
          <w:sz w:val="22"/>
          <w:szCs w:val="22"/>
          <w:lang w:val="en-GB"/>
        </w:rPr>
        <w:t>will</w:t>
      </w:r>
      <w:r w:rsidR="002F18B7">
        <w:rPr>
          <w:rFonts w:ascii="Gellix" w:hAnsi="Gellix"/>
          <w:color w:val="000000" w:themeColor="text1"/>
          <w:sz w:val="22"/>
          <w:szCs w:val="22"/>
          <w:lang w:val="en-GB"/>
        </w:rPr>
        <w:t xml:space="preserve"> </w:t>
      </w:r>
      <w:r w:rsidR="004D6951">
        <w:rPr>
          <w:rFonts w:ascii="Gellix" w:hAnsi="Gellix"/>
          <w:color w:val="000000" w:themeColor="text1"/>
          <w:sz w:val="22"/>
          <w:szCs w:val="22"/>
          <w:lang w:val="en-GB"/>
        </w:rPr>
        <w:t xml:space="preserve">require coherence from </w:t>
      </w:r>
      <w:r w:rsidR="00F4727C">
        <w:rPr>
          <w:rFonts w:ascii="Gellix" w:hAnsi="Gellix"/>
          <w:color w:val="000000" w:themeColor="text1"/>
          <w:sz w:val="22"/>
          <w:szCs w:val="22"/>
          <w:lang w:val="en-GB"/>
        </w:rPr>
        <w:t>policymakers</w:t>
      </w:r>
      <w:r w:rsidR="004D6951">
        <w:rPr>
          <w:rFonts w:ascii="Gellix" w:hAnsi="Gellix"/>
          <w:color w:val="000000" w:themeColor="text1"/>
          <w:sz w:val="22"/>
          <w:szCs w:val="22"/>
          <w:lang w:val="en-GB"/>
        </w:rPr>
        <w:t xml:space="preserve"> across a number of different policy areas. </w:t>
      </w:r>
      <w:r w:rsidR="00F4727C">
        <w:rPr>
          <w:rFonts w:ascii="Gellix" w:hAnsi="Gellix"/>
          <w:color w:val="000000" w:themeColor="text1"/>
          <w:sz w:val="22"/>
          <w:szCs w:val="22"/>
          <w:lang w:val="en-GB"/>
        </w:rPr>
        <w:t>T</w:t>
      </w:r>
      <w:r w:rsidR="004D6951">
        <w:rPr>
          <w:rFonts w:ascii="Gellix" w:hAnsi="Gellix"/>
          <w:color w:val="000000" w:themeColor="text1"/>
          <w:sz w:val="22"/>
          <w:szCs w:val="22"/>
          <w:lang w:val="en-GB"/>
        </w:rPr>
        <w:t xml:space="preserve">ax policy is no exception. </w:t>
      </w:r>
      <w:bookmarkStart w:id="0" w:name="_Hlk118472715"/>
      <w:r w:rsidR="00E97ADA" w:rsidRPr="00B54502">
        <w:rPr>
          <w:rFonts w:ascii="Gellix" w:hAnsi="Gellix"/>
          <w:color w:val="000000" w:themeColor="text1"/>
          <w:sz w:val="22"/>
          <w:szCs w:val="22"/>
          <w:lang w:val="en-GB"/>
        </w:rPr>
        <w:t>Carbon pricing</w:t>
      </w:r>
      <w:r w:rsidR="003A6E0F" w:rsidRPr="00B54502">
        <w:rPr>
          <w:rFonts w:ascii="Gellix" w:hAnsi="Gellix"/>
          <w:color w:val="000000" w:themeColor="text1"/>
          <w:sz w:val="22"/>
          <w:szCs w:val="22"/>
          <w:lang w:val="en-GB"/>
        </w:rPr>
        <w:t xml:space="preserve"> </w:t>
      </w:r>
      <w:r w:rsidR="000A41CE">
        <w:rPr>
          <w:rFonts w:ascii="Gellix" w:hAnsi="Gellix"/>
          <w:color w:val="000000" w:themeColor="text1"/>
          <w:sz w:val="22"/>
          <w:szCs w:val="22"/>
          <w:lang w:val="en-GB"/>
        </w:rPr>
        <w:t>i</w:t>
      </w:r>
      <w:r w:rsidR="003A6E0F" w:rsidRPr="00C2077C">
        <w:rPr>
          <w:rFonts w:ascii="Gellix" w:hAnsi="Gellix"/>
          <w:color w:val="000000" w:themeColor="text1"/>
          <w:sz w:val="22"/>
          <w:szCs w:val="22"/>
          <w:lang w:val="en-GB"/>
        </w:rPr>
        <w:t>nstruments</w:t>
      </w:r>
      <w:r w:rsidR="00E97ADA" w:rsidRPr="00C2077C">
        <w:rPr>
          <w:rFonts w:ascii="Gellix" w:hAnsi="Gellix"/>
          <w:color w:val="000000" w:themeColor="text1"/>
          <w:sz w:val="22"/>
          <w:szCs w:val="22"/>
          <w:lang w:val="en-GB"/>
        </w:rPr>
        <w:t xml:space="preserve">, such as carbon taxes, </w:t>
      </w:r>
      <w:r w:rsidR="003A6E0F" w:rsidRPr="00C2077C">
        <w:rPr>
          <w:rFonts w:ascii="Gellix" w:hAnsi="Gellix"/>
          <w:color w:val="000000" w:themeColor="text1"/>
          <w:sz w:val="22"/>
          <w:szCs w:val="22"/>
          <w:lang w:val="en-GB"/>
        </w:rPr>
        <w:t>if well</w:t>
      </w:r>
      <w:r w:rsidR="00F31C9F" w:rsidRPr="00C2077C">
        <w:rPr>
          <w:rFonts w:ascii="Gellix" w:hAnsi="Gellix"/>
          <w:color w:val="000000" w:themeColor="text1"/>
          <w:sz w:val="22"/>
          <w:szCs w:val="22"/>
          <w:lang w:val="en-GB"/>
        </w:rPr>
        <w:t xml:space="preserve"> </w:t>
      </w:r>
      <w:r w:rsidR="003A6E0F" w:rsidRPr="00C2077C">
        <w:rPr>
          <w:rFonts w:ascii="Gellix" w:hAnsi="Gellix"/>
          <w:color w:val="000000" w:themeColor="text1"/>
          <w:sz w:val="22"/>
          <w:szCs w:val="22"/>
          <w:lang w:val="en-GB"/>
        </w:rPr>
        <w:t xml:space="preserve">designed, </w:t>
      </w:r>
      <w:r w:rsidR="00F31C9F" w:rsidRPr="00C2077C">
        <w:rPr>
          <w:rFonts w:ascii="Gellix" w:hAnsi="Gellix"/>
          <w:color w:val="000000" w:themeColor="text1"/>
          <w:sz w:val="22"/>
          <w:szCs w:val="22"/>
          <w:lang w:val="en-GB"/>
        </w:rPr>
        <w:t xml:space="preserve">can </w:t>
      </w:r>
      <w:r w:rsidR="003A6E0F" w:rsidRPr="00C2077C">
        <w:rPr>
          <w:rFonts w:ascii="Gellix" w:hAnsi="Gellix"/>
          <w:color w:val="000000" w:themeColor="text1"/>
          <w:sz w:val="22"/>
          <w:szCs w:val="22"/>
          <w:lang w:val="en-GB"/>
        </w:rPr>
        <w:t>be an</w:t>
      </w:r>
      <w:r w:rsidR="00E97ADA" w:rsidRPr="00C2077C">
        <w:rPr>
          <w:rFonts w:ascii="Gellix" w:hAnsi="Gellix"/>
          <w:color w:val="000000" w:themeColor="text1"/>
          <w:sz w:val="22"/>
          <w:szCs w:val="22"/>
          <w:lang w:val="en-GB"/>
        </w:rPr>
        <w:t xml:space="preserve"> </w:t>
      </w:r>
      <w:r w:rsidR="00CC7030" w:rsidRPr="00C2077C">
        <w:rPr>
          <w:rFonts w:ascii="Gellix" w:hAnsi="Gellix"/>
          <w:color w:val="000000" w:themeColor="text1"/>
          <w:sz w:val="22"/>
          <w:szCs w:val="22"/>
          <w:lang w:val="en-GB"/>
        </w:rPr>
        <w:t>important</w:t>
      </w:r>
      <w:r w:rsidR="003A6E0F" w:rsidRPr="00C2077C">
        <w:rPr>
          <w:rFonts w:ascii="Gellix" w:hAnsi="Gellix"/>
          <w:color w:val="000000" w:themeColor="text1"/>
          <w:sz w:val="22"/>
          <w:szCs w:val="22"/>
          <w:lang w:val="en-GB"/>
        </w:rPr>
        <w:t xml:space="preserve"> tool to stimulate reduced emission activity and </w:t>
      </w:r>
      <w:bookmarkStart w:id="1" w:name="_Hlk118472962"/>
      <w:r w:rsidR="00E97ADA" w:rsidRPr="00C2077C">
        <w:rPr>
          <w:rFonts w:ascii="Gellix" w:hAnsi="Gellix"/>
          <w:color w:val="000000" w:themeColor="text1"/>
          <w:sz w:val="22"/>
          <w:szCs w:val="22"/>
          <w:lang w:val="en-GB"/>
        </w:rPr>
        <w:t xml:space="preserve">incentivising </w:t>
      </w:r>
      <w:r w:rsidR="003A6E0F" w:rsidRPr="00C2077C">
        <w:rPr>
          <w:rFonts w:ascii="Gellix" w:hAnsi="Gellix"/>
          <w:color w:val="000000" w:themeColor="text1"/>
          <w:sz w:val="22"/>
          <w:szCs w:val="22"/>
          <w:lang w:val="en-GB"/>
        </w:rPr>
        <w:t xml:space="preserve">climate </w:t>
      </w:r>
      <w:r w:rsidR="00E97ADA" w:rsidRPr="00C2077C">
        <w:rPr>
          <w:rFonts w:ascii="Gellix" w:hAnsi="Gellix"/>
          <w:color w:val="000000" w:themeColor="text1"/>
          <w:sz w:val="22"/>
          <w:szCs w:val="22"/>
          <w:lang w:val="en-GB"/>
        </w:rPr>
        <w:t>innovation</w:t>
      </w:r>
      <w:bookmarkEnd w:id="1"/>
      <w:r w:rsidR="00B72929" w:rsidRPr="00F31C9F">
        <w:rPr>
          <w:rFonts w:ascii="Gellix" w:hAnsi="Gellix"/>
          <w:color w:val="000000" w:themeColor="text1"/>
          <w:sz w:val="22"/>
          <w:szCs w:val="22"/>
          <w:lang w:val="en-GB"/>
        </w:rPr>
        <w:t>. B</w:t>
      </w:r>
      <w:r w:rsidR="00E97ADA" w:rsidRPr="00F31C9F">
        <w:rPr>
          <w:rFonts w:ascii="Gellix" w:hAnsi="Gellix"/>
          <w:color w:val="000000" w:themeColor="text1"/>
          <w:sz w:val="22"/>
          <w:szCs w:val="22"/>
          <w:lang w:val="en-GB"/>
        </w:rPr>
        <w:t xml:space="preserve">ut tax systems </w:t>
      </w:r>
      <w:r w:rsidR="00E97ADA">
        <w:rPr>
          <w:rFonts w:ascii="Gellix" w:hAnsi="Gellix"/>
          <w:color w:val="000000" w:themeColor="text1"/>
          <w:sz w:val="22"/>
          <w:szCs w:val="22"/>
          <w:lang w:val="en-GB"/>
        </w:rPr>
        <w:t xml:space="preserve">and tax policy can </w:t>
      </w:r>
      <w:r w:rsidR="00F4727C">
        <w:rPr>
          <w:rFonts w:ascii="Gellix" w:hAnsi="Gellix"/>
          <w:color w:val="000000" w:themeColor="text1"/>
          <w:sz w:val="22"/>
          <w:szCs w:val="22"/>
          <w:lang w:val="en-GB"/>
        </w:rPr>
        <w:t xml:space="preserve">also </w:t>
      </w:r>
      <w:r w:rsidR="00E97ADA">
        <w:rPr>
          <w:rFonts w:ascii="Gellix" w:hAnsi="Gellix"/>
          <w:color w:val="000000" w:themeColor="text1"/>
          <w:sz w:val="22"/>
          <w:szCs w:val="22"/>
          <w:lang w:val="en-GB"/>
        </w:rPr>
        <w:t xml:space="preserve">more broadly provide </w:t>
      </w:r>
      <w:r w:rsidR="00F4727C">
        <w:rPr>
          <w:rFonts w:ascii="Gellix" w:hAnsi="Gellix"/>
          <w:color w:val="000000" w:themeColor="text1"/>
          <w:sz w:val="22"/>
          <w:szCs w:val="22"/>
          <w:lang w:val="en-GB"/>
        </w:rPr>
        <w:t xml:space="preserve">companies with </w:t>
      </w:r>
      <w:r w:rsidR="00E97ADA">
        <w:rPr>
          <w:rFonts w:ascii="Gellix" w:hAnsi="Gellix"/>
          <w:color w:val="000000" w:themeColor="text1"/>
          <w:sz w:val="22"/>
          <w:szCs w:val="22"/>
          <w:lang w:val="en-GB"/>
        </w:rPr>
        <w:t>incentives</w:t>
      </w:r>
      <w:r w:rsidR="00F4727C">
        <w:rPr>
          <w:rFonts w:ascii="Gellix" w:hAnsi="Gellix"/>
          <w:color w:val="000000" w:themeColor="text1"/>
          <w:sz w:val="22"/>
          <w:szCs w:val="22"/>
          <w:lang w:val="en-GB"/>
        </w:rPr>
        <w:t xml:space="preserve"> and</w:t>
      </w:r>
      <w:r w:rsidR="00F31C9F">
        <w:rPr>
          <w:rFonts w:ascii="Gellix" w:hAnsi="Gellix"/>
          <w:color w:val="000000" w:themeColor="text1"/>
          <w:sz w:val="22"/>
          <w:szCs w:val="22"/>
          <w:lang w:val="en-GB"/>
        </w:rPr>
        <w:t>,</w:t>
      </w:r>
      <w:r w:rsidR="00F4727C">
        <w:rPr>
          <w:rFonts w:ascii="Gellix" w:hAnsi="Gellix"/>
          <w:color w:val="000000" w:themeColor="text1"/>
          <w:sz w:val="22"/>
          <w:szCs w:val="22"/>
          <w:lang w:val="en-GB"/>
        </w:rPr>
        <w:t xml:space="preserve"> not least</w:t>
      </w:r>
      <w:r w:rsidR="00F31C9F">
        <w:rPr>
          <w:rFonts w:ascii="Gellix" w:hAnsi="Gellix"/>
          <w:color w:val="000000" w:themeColor="text1"/>
          <w:sz w:val="22"/>
          <w:szCs w:val="22"/>
          <w:lang w:val="en-GB"/>
        </w:rPr>
        <w:t>,</w:t>
      </w:r>
      <w:r w:rsidR="00F4727C">
        <w:rPr>
          <w:rFonts w:ascii="Gellix" w:hAnsi="Gellix"/>
          <w:color w:val="000000" w:themeColor="text1"/>
          <w:sz w:val="22"/>
          <w:szCs w:val="22"/>
          <w:lang w:val="en-GB"/>
        </w:rPr>
        <w:t xml:space="preserve"> </w:t>
      </w:r>
      <w:r w:rsidR="00E97ADA">
        <w:rPr>
          <w:rFonts w:ascii="Gellix" w:hAnsi="Gellix"/>
          <w:color w:val="000000" w:themeColor="text1"/>
          <w:sz w:val="22"/>
          <w:szCs w:val="22"/>
          <w:lang w:val="en-GB"/>
        </w:rPr>
        <w:t xml:space="preserve">remove </w:t>
      </w:r>
      <w:r w:rsidR="00F4727C">
        <w:rPr>
          <w:rFonts w:ascii="Gellix" w:hAnsi="Gellix"/>
          <w:color w:val="000000" w:themeColor="text1"/>
          <w:sz w:val="22"/>
          <w:szCs w:val="22"/>
          <w:lang w:val="en-GB"/>
        </w:rPr>
        <w:t>disincentives</w:t>
      </w:r>
      <w:r w:rsidR="00E97ADA">
        <w:rPr>
          <w:rFonts w:ascii="Gellix" w:hAnsi="Gellix"/>
          <w:color w:val="000000" w:themeColor="text1"/>
          <w:sz w:val="22"/>
          <w:szCs w:val="22"/>
          <w:lang w:val="en-GB"/>
        </w:rPr>
        <w:t xml:space="preserve"> </w:t>
      </w:r>
      <w:r w:rsidR="00F4727C">
        <w:rPr>
          <w:rFonts w:ascii="Gellix" w:hAnsi="Gellix"/>
          <w:color w:val="000000" w:themeColor="text1"/>
          <w:sz w:val="22"/>
          <w:szCs w:val="22"/>
          <w:lang w:val="en-GB"/>
        </w:rPr>
        <w:t xml:space="preserve">to take concrete climate </w:t>
      </w:r>
      <w:r w:rsidR="006550CA">
        <w:rPr>
          <w:rFonts w:ascii="Gellix" w:hAnsi="Gellix"/>
          <w:color w:val="000000" w:themeColor="text1"/>
          <w:sz w:val="22"/>
          <w:szCs w:val="22"/>
          <w:lang w:val="en-GB"/>
        </w:rPr>
        <w:t xml:space="preserve">and sustainability </w:t>
      </w:r>
      <w:r w:rsidR="00F4727C">
        <w:rPr>
          <w:rFonts w:ascii="Gellix" w:hAnsi="Gellix"/>
          <w:color w:val="000000" w:themeColor="text1"/>
          <w:sz w:val="22"/>
          <w:szCs w:val="22"/>
          <w:lang w:val="en-GB"/>
        </w:rPr>
        <w:t>actions</w:t>
      </w:r>
      <w:r w:rsidR="006550CA">
        <w:rPr>
          <w:rFonts w:ascii="Gellix" w:hAnsi="Gellix"/>
          <w:color w:val="000000" w:themeColor="text1"/>
          <w:sz w:val="22"/>
          <w:szCs w:val="22"/>
          <w:lang w:val="en-GB"/>
        </w:rPr>
        <w:t>.</w:t>
      </w:r>
      <w:r w:rsidR="00E97ADA">
        <w:rPr>
          <w:rFonts w:ascii="Gellix" w:hAnsi="Gellix"/>
          <w:color w:val="000000" w:themeColor="text1"/>
          <w:sz w:val="22"/>
          <w:szCs w:val="22"/>
          <w:lang w:val="en-GB"/>
        </w:rPr>
        <w:t xml:space="preserve"> </w:t>
      </w:r>
    </w:p>
    <w:bookmarkEnd w:id="0"/>
    <w:p w14:paraId="5F2E2E47" w14:textId="77777777" w:rsidR="00C62960" w:rsidRDefault="00C62960" w:rsidP="00482D35">
      <w:pPr>
        <w:spacing w:line="276" w:lineRule="auto"/>
        <w:rPr>
          <w:rFonts w:ascii="Gellix" w:hAnsi="Gellix"/>
          <w:color w:val="000000" w:themeColor="text1"/>
          <w:sz w:val="22"/>
          <w:szCs w:val="22"/>
          <w:lang w:val="en-GB"/>
        </w:rPr>
      </w:pPr>
    </w:p>
    <w:p w14:paraId="5F8946EB" w14:textId="33F80214" w:rsidR="00482D35" w:rsidRDefault="00F4727C" w:rsidP="00482D35">
      <w:pPr>
        <w:spacing w:line="276" w:lineRule="auto"/>
        <w:rPr>
          <w:rFonts w:ascii="Gellix" w:hAnsi="Gellix"/>
          <w:color w:val="000000" w:themeColor="text1"/>
          <w:sz w:val="22"/>
          <w:szCs w:val="22"/>
          <w:lang w:val="en-GB"/>
        </w:rPr>
      </w:pPr>
      <w:r>
        <w:rPr>
          <w:rFonts w:ascii="Gellix" w:hAnsi="Gellix"/>
          <w:color w:val="000000" w:themeColor="text1"/>
          <w:sz w:val="22"/>
          <w:szCs w:val="22"/>
          <w:lang w:val="en-GB"/>
        </w:rPr>
        <w:t>This paper, which has been prepared by ICC Sweden’s Tax Committee, takes a closer look at how the current Swedish tax system impacts corporate climate actions and investments</w:t>
      </w:r>
      <w:r w:rsidR="0011319D">
        <w:rPr>
          <w:rFonts w:ascii="Gellix" w:hAnsi="Gellix"/>
          <w:color w:val="000000" w:themeColor="text1"/>
          <w:sz w:val="22"/>
          <w:szCs w:val="22"/>
          <w:lang w:val="en-GB"/>
        </w:rPr>
        <w:t xml:space="preserve"> in sustainability</w:t>
      </w:r>
      <w:r w:rsidR="00482D35">
        <w:rPr>
          <w:rFonts w:ascii="Gellix" w:hAnsi="Gellix"/>
          <w:color w:val="000000" w:themeColor="text1"/>
          <w:sz w:val="22"/>
          <w:szCs w:val="22"/>
          <w:lang w:val="en-GB"/>
        </w:rPr>
        <w:t>. Via case studies pertaining to both legal cases and to business experiences from dealing with tax authorities, t</w:t>
      </w:r>
      <w:r>
        <w:rPr>
          <w:rFonts w:ascii="Gellix" w:hAnsi="Gellix"/>
          <w:color w:val="000000" w:themeColor="text1"/>
          <w:sz w:val="22"/>
          <w:szCs w:val="22"/>
          <w:lang w:val="en-GB"/>
        </w:rPr>
        <w:t xml:space="preserve">he paper identifies some challenges that businesses operating in Sweden are currently facing as they try to </w:t>
      </w:r>
      <w:r w:rsidR="0011319D">
        <w:rPr>
          <w:rFonts w:ascii="Gellix" w:hAnsi="Gellix"/>
          <w:color w:val="000000" w:themeColor="text1"/>
          <w:sz w:val="22"/>
          <w:szCs w:val="22"/>
          <w:lang w:val="en-GB"/>
        </w:rPr>
        <w:t xml:space="preserve">adhere to </w:t>
      </w:r>
      <w:r w:rsidR="006550CA">
        <w:rPr>
          <w:rFonts w:ascii="Gellix" w:hAnsi="Gellix"/>
          <w:color w:val="000000" w:themeColor="text1"/>
          <w:sz w:val="22"/>
          <w:szCs w:val="22"/>
          <w:lang w:val="en-GB"/>
        </w:rPr>
        <w:t xml:space="preserve">their sustainability agenda </w:t>
      </w:r>
      <w:r w:rsidR="0011319D">
        <w:rPr>
          <w:rFonts w:ascii="Gellix" w:hAnsi="Gellix"/>
          <w:color w:val="000000" w:themeColor="text1"/>
          <w:sz w:val="22"/>
          <w:szCs w:val="22"/>
          <w:lang w:val="en-GB"/>
        </w:rPr>
        <w:t xml:space="preserve">and </w:t>
      </w:r>
      <w:r>
        <w:rPr>
          <w:rFonts w:ascii="Gellix" w:hAnsi="Gellix"/>
          <w:color w:val="000000" w:themeColor="text1"/>
          <w:sz w:val="22"/>
          <w:szCs w:val="22"/>
          <w:lang w:val="en-GB"/>
        </w:rPr>
        <w:t xml:space="preserve">accelerate their green transition and decarbonisation </w:t>
      </w:r>
      <w:r w:rsidR="00482D35">
        <w:rPr>
          <w:rFonts w:ascii="Gellix" w:hAnsi="Gellix"/>
          <w:color w:val="000000" w:themeColor="text1"/>
          <w:sz w:val="22"/>
          <w:szCs w:val="22"/>
          <w:lang w:val="en-GB"/>
        </w:rPr>
        <w:t xml:space="preserve">efforts </w:t>
      </w:r>
      <w:r>
        <w:rPr>
          <w:rFonts w:ascii="Gellix" w:hAnsi="Gellix"/>
          <w:color w:val="000000" w:themeColor="text1"/>
          <w:sz w:val="22"/>
          <w:szCs w:val="22"/>
          <w:lang w:val="en-GB"/>
        </w:rPr>
        <w:t>and increase resource-efficiency. The purpose is to initiate a discussion on the role of tax policy when it comes to sustainability and, by sharing the Swedish experience, to serve as a discussion starter on this topic within the global ICC network.</w:t>
      </w:r>
    </w:p>
    <w:p w14:paraId="546DEB13" w14:textId="77777777" w:rsidR="00B54502" w:rsidRDefault="00B54502" w:rsidP="00482D35">
      <w:pPr>
        <w:spacing w:line="276" w:lineRule="auto"/>
        <w:rPr>
          <w:rFonts w:ascii="Gellix" w:hAnsi="Gellix"/>
          <w:color w:val="000000" w:themeColor="text1"/>
          <w:sz w:val="22"/>
          <w:szCs w:val="22"/>
          <w:lang w:val="en-GB"/>
        </w:rPr>
      </w:pPr>
    </w:p>
    <w:p w14:paraId="5E8E945D" w14:textId="2BF68839" w:rsidR="00482D35" w:rsidRPr="00482D35" w:rsidRDefault="00482D35" w:rsidP="00482D35">
      <w:pPr>
        <w:spacing w:line="276" w:lineRule="auto"/>
        <w:rPr>
          <w:rFonts w:ascii="Gellix" w:hAnsi="Gellix"/>
          <w:color w:val="007DFF"/>
          <w:sz w:val="22"/>
          <w:szCs w:val="22"/>
          <w:lang w:val="en-GB"/>
        </w:rPr>
      </w:pPr>
      <w:r w:rsidRPr="00482D35">
        <w:rPr>
          <w:rFonts w:ascii="Gellix" w:hAnsi="Gellix"/>
          <w:color w:val="007DFF"/>
          <w:sz w:val="22"/>
          <w:szCs w:val="22"/>
          <w:lang w:val="en-GB"/>
        </w:rPr>
        <w:t xml:space="preserve">Case Study: Tax Policy Disincentivising </w:t>
      </w:r>
      <w:r w:rsidR="00CC7030">
        <w:rPr>
          <w:rFonts w:ascii="Gellix" w:hAnsi="Gellix"/>
          <w:color w:val="007DFF"/>
          <w:sz w:val="22"/>
          <w:szCs w:val="22"/>
          <w:lang w:val="en-GB"/>
        </w:rPr>
        <w:t>Research and Development of</w:t>
      </w:r>
      <w:r w:rsidRPr="00482D35">
        <w:rPr>
          <w:rFonts w:ascii="Gellix" w:hAnsi="Gellix"/>
          <w:color w:val="007DFF"/>
          <w:sz w:val="22"/>
          <w:szCs w:val="22"/>
          <w:lang w:val="en-GB"/>
        </w:rPr>
        <w:t xml:space="preserve"> New Technology</w:t>
      </w:r>
    </w:p>
    <w:p w14:paraId="6E573913" w14:textId="64286E5E" w:rsidR="002F18B7" w:rsidRDefault="00482D35" w:rsidP="00482D35">
      <w:pPr>
        <w:spacing w:line="276" w:lineRule="auto"/>
        <w:rPr>
          <w:rFonts w:ascii="Gellix" w:hAnsi="Gellix"/>
          <w:color w:val="000000" w:themeColor="text1"/>
          <w:sz w:val="22"/>
          <w:szCs w:val="22"/>
          <w:lang w:val="en-GB"/>
        </w:rPr>
      </w:pPr>
      <w:r>
        <w:rPr>
          <w:rFonts w:ascii="Gellix" w:hAnsi="Gellix"/>
          <w:color w:val="000000" w:themeColor="text1"/>
          <w:sz w:val="22"/>
          <w:szCs w:val="22"/>
          <w:lang w:val="en-GB"/>
        </w:rPr>
        <w:t xml:space="preserve">The green transition will require major investments in new technology and innovations. A multinational Swedish company </w:t>
      </w:r>
      <w:r w:rsidR="00CC7030">
        <w:rPr>
          <w:rFonts w:ascii="Gellix" w:hAnsi="Gellix"/>
          <w:color w:val="000000" w:themeColor="text1"/>
          <w:sz w:val="22"/>
          <w:szCs w:val="22"/>
          <w:lang w:val="en-GB"/>
        </w:rPr>
        <w:t>is collaborating with academia and researchers to develop carbon capture technology, which</w:t>
      </w:r>
      <w:r w:rsidR="00F0318D">
        <w:rPr>
          <w:rFonts w:ascii="Gellix" w:hAnsi="Gellix"/>
          <w:color w:val="000000" w:themeColor="text1"/>
          <w:sz w:val="22"/>
          <w:szCs w:val="22"/>
          <w:lang w:val="en-GB"/>
        </w:rPr>
        <w:t>,</w:t>
      </w:r>
      <w:r w:rsidR="00CC7030">
        <w:rPr>
          <w:rFonts w:ascii="Gellix" w:hAnsi="Gellix"/>
          <w:color w:val="000000" w:themeColor="text1"/>
          <w:sz w:val="22"/>
          <w:szCs w:val="22"/>
          <w:lang w:val="en-GB"/>
        </w:rPr>
        <w:t xml:space="preserve"> in addition to their efforts to reduce their CO</w:t>
      </w:r>
      <w:r w:rsidR="00CC7030" w:rsidRPr="002F18B7">
        <w:rPr>
          <w:rFonts w:ascii="Gellix" w:hAnsi="Gellix"/>
          <w:color w:val="000000" w:themeColor="text1"/>
          <w:sz w:val="22"/>
          <w:szCs w:val="22"/>
          <w:vertAlign w:val="subscript"/>
          <w:lang w:val="en-GB"/>
        </w:rPr>
        <w:t>2</w:t>
      </w:r>
      <w:r w:rsidR="00CC7030">
        <w:rPr>
          <w:rFonts w:ascii="Gellix" w:hAnsi="Gellix"/>
          <w:color w:val="000000" w:themeColor="text1"/>
          <w:sz w:val="22"/>
          <w:szCs w:val="22"/>
          <w:lang w:val="en-GB"/>
        </w:rPr>
        <w:t xml:space="preserve"> emissions</w:t>
      </w:r>
      <w:r w:rsidR="00121137">
        <w:rPr>
          <w:rFonts w:ascii="Gellix" w:hAnsi="Gellix"/>
          <w:color w:val="000000" w:themeColor="text1"/>
          <w:sz w:val="22"/>
          <w:szCs w:val="22"/>
          <w:lang w:val="en-GB"/>
        </w:rPr>
        <w:t>,</w:t>
      </w:r>
      <w:r w:rsidR="00CC7030">
        <w:rPr>
          <w:rFonts w:ascii="Gellix" w:hAnsi="Gellix"/>
          <w:color w:val="000000" w:themeColor="text1"/>
          <w:sz w:val="22"/>
          <w:szCs w:val="22"/>
          <w:lang w:val="en-GB"/>
        </w:rPr>
        <w:t xml:space="preserve"> </w:t>
      </w:r>
      <w:r w:rsidR="00121137">
        <w:rPr>
          <w:rFonts w:ascii="Gellix" w:hAnsi="Gellix"/>
          <w:color w:val="000000" w:themeColor="text1"/>
          <w:sz w:val="22"/>
          <w:szCs w:val="22"/>
          <w:lang w:val="en-GB"/>
        </w:rPr>
        <w:t>may</w:t>
      </w:r>
      <w:r w:rsidR="00CC7030">
        <w:rPr>
          <w:rFonts w:ascii="Gellix" w:hAnsi="Gellix"/>
          <w:color w:val="000000" w:themeColor="text1"/>
          <w:sz w:val="22"/>
          <w:szCs w:val="22"/>
          <w:lang w:val="en-GB"/>
        </w:rPr>
        <w:t xml:space="preserve"> </w:t>
      </w:r>
      <w:r w:rsidR="00F0318D">
        <w:rPr>
          <w:rFonts w:ascii="Gellix" w:hAnsi="Gellix"/>
          <w:color w:val="000000" w:themeColor="text1"/>
          <w:sz w:val="22"/>
          <w:szCs w:val="22"/>
          <w:lang w:val="en-GB"/>
        </w:rPr>
        <w:t>enable</w:t>
      </w:r>
      <w:r w:rsidR="00CC7030">
        <w:rPr>
          <w:rFonts w:ascii="Gellix" w:hAnsi="Gellix"/>
          <w:color w:val="000000" w:themeColor="text1"/>
          <w:sz w:val="22"/>
          <w:szCs w:val="22"/>
          <w:lang w:val="en-GB"/>
        </w:rPr>
        <w:t xml:space="preserve"> them to capture emissions</w:t>
      </w:r>
      <w:r w:rsidR="00121137">
        <w:rPr>
          <w:rFonts w:ascii="Gellix" w:hAnsi="Gellix"/>
          <w:color w:val="000000" w:themeColor="text1"/>
          <w:sz w:val="22"/>
          <w:szCs w:val="22"/>
          <w:lang w:val="en-GB"/>
        </w:rPr>
        <w:t xml:space="preserve"> </w:t>
      </w:r>
      <w:r w:rsidR="008074E0">
        <w:rPr>
          <w:rFonts w:ascii="Gellix" w:hAnsi="Gellix"/>
          <w:color w:val="000000" w:themeColor="text1"/>
          <w:sz w:val="22"/>
          <w:szCs w:val="22"/>
          <w:lang w:val="en-GB"/>
        </w:rPr>
        <w:t xml:space="preserve">by using this </w:t>
      </w:r>
      <w:r w:rsidR="00121137">
        <w:rPr>
          <w:rFonts w:ascii="Gellix" w:hAnsi="Gellix"/>
          <w:color w:val="000000" w:themeColor="text1"/>
          <w:sz w:val="22"/>
          <w:szCs w:val="22"/>
          <w:lang w:val="en-GB"/>
        </w:rPr>
        <w:t>techn</w:t>
      </w:r>
      <w:r w:rsidR="00F0318D">
        <w:rPr>
          <w:rFonts w:ascii="Gellix" w:hAnsi="Gellix"/>
          <w:color w:val="000000" w:themeColor="text1"/>
          <w:sz w:val="22"/>
          <w:szCs w:val="22"/>
          <w:lang w:val="en-GB"/>
        </w:rPr>
        <w:t>ology</w:t>
      </w:r>
      <w:r w:rsidR="008074E0">
        <w:rPr>
          <w:rFonts w:ascii="Gellix" w:hAnsi="Gellix"/>
          <w:color w:val="000000" w:themeColor="text1"/>
          <w:sz w:val="22"/>
          <w:szCs w:val="22"/>
          <w:lang w:val="en-GB"/>
        </w:rPr>
        <w:t xml:space="preserve"> in the future</w:t>
      </w:r>
      <w:r w:rsidR="00B54502">
        <w:rPr>
          <w:rFonts w:ascii="Gellix" w:hAnsi="Gellix"/>
          <w:color w:val="000000" w:themeColor="text1"/>
          <w:sz w:val="22"/>
          <w:szCs w:val="22"/>
          <w:lang w:val="en-GB"/>
        </w:rPr>
        <w:t>,</w:t>
      </w:r>
      <w:r w:rsidR="008074E0">
        <w:rPr>
          <w:rFonts w:ascii="Gellix" w:hAnsi="Gellix"/>
          <w:color w:val="000000" w:themeColor="text1"/>
          <w:sz w:val="22"/>
          <w:szCs w:val="22"/>
          <w:lang w:val="en-GB"/>
        </w:rPr>
        <w:t xml:space="preserve"> </w:t>
      </w:r>
      <w:r w:rsidR="00F0318D">
        <w:rPr>
          <w:rFonts w:ascii="Gellix" w:hAnsi="Gellix"/>
          <w:color w:val="000000" w:themeColor="text1"/>
          <w:sz w:val="22"/>
          <w:szCs w:val="22"/>
          <w:lang w:val="en-GB"/>
        </w:rPr>
        <w:t xml:space="preserve">provided that </w:t>
      </w:r>
      <w:r w:rsidR="00F0318D" w:rsidRPr="00F0318D">
        <w:rPr>
          <w:rFonts w:ascii="Gellix" w:hAnsi="Gellix"/>
          <w:color w:val="000000" w:themeColor="text1"/>
          <w:sz w:val="22"/>
          <w:szCs w:val="22"/>
          <w:lang w:val="en-GB"/>
        </w:rPr>
        <w:t xml:space="preserve">it is developed </w:t>
      </w:r>
      <w:r w:rsidR="00F0318D">
        <w:rPr>
          <w:rFonts w:ascii="Gellix" w:hAnsi="Gellix"/>
          <w:color w:val="000000" w:themeColor="text1"/>
          <w:sz w:val="22"/>
          <w:szCs w:val="22"/>
          <w:lang w:val="en-GB"/>
        </w:rPr>
        <w:t>successfully</w:t>
      </w:r>
      <w:r w:rsidR="008074E0">
        <w:rPr>
          <w:rFonts w:ascii="Gellix" w:hAnsi="Gellix"/>
          <w:color w:val="000000" w:themeColor="text1"/>
          <w:sz w:val="22"/>
          <w:szCs w:val="22"/>
          <w:lang w:val="en-GB"/>
        </w:rPr>
        <w:t>.</w:t>
      </w:r>
      <w:r w:rsidR="00CC7030">
        <w:rPr>
          <w:rFonts w:ascii="Gellix" w:hAnsi="Gellix"/>
          <w:color w:val="000000" w:themeColor="text1"/>
          <w:sz w:val="22"/>
          <w:szCs w:val="22"/>
          <w:lang w:val="en-GB"/>
        </w:rPr>
        <w:t xml:space="preserve"> The project is important for the company to be able to meet their </w:t>
      </w:r>
      <w:r w:rsidR="00C26F0F">
        <w:rPr>
          <w:rFonts w:ascii="Gellix" w:hAnsi="Gellix"/>
          <w:color w:val="000000" w:themeColor="text1"/>
          <w:sz w:val="22"/>
          <w:szCs w:val="22"/>
          <w:lang w:val="en-GB"/>
        </w:rPr>
        <w:t>long-term</w:t>
      </w:r>
      <w:r w:rsidR="00121137">
        <w:rPr>
          <w:rFonts w:ascii="Gellix" w:hAnsi="Gellix"/>
          <w:color w:val="000000" w:themeColor="text1"/>
          <w:sz w:val="22"/>
          <w:szCs w:val="22"/>
          <w:lang w:val="en-GB"/>
        </w:rPr>
        <w:t xml:space="preserve"> </w:t>
      </w:r>
      <w:r w:rsidR="002F18B7">
        <w:rPr>
          <w:rFonts w:ascii="Gellix" w:hAnsi="Gellix"/>
          <w:color w:val="000000" w:themeColor="text1"/>
          <w:sz w:val="22"/>
          <w:szCs w:val="22"/>
          <w:lang w:val="en-GB"/>
        </w:rPr>
        <w:t>climate</w:t>
      </w:r>
      <w:r w:rsidR="00CC7030">
        <w:rPr>
          <w:rFonts w:ascii="Gellix" w:hAnsi="Gellix"/>
          <w:color w:val="000000" w:themeColor="text1"/>
          <w:sz w:val="22"/>
          <w:szCs w:val="22"/>
          <w:lang w:val="en-GB"/>
        </w:rPr>
        <w:t xml:space="preserve"> goals. However, for the company to be able to deduct the cost for </w:t>
      </w:r>
      <w:r w:rsidR="00472FE0">
        <w:rPr>
          <w:rFonts w:ascii="Gellix" w:hAnsi="Gellix"/>
          <w:color w:val="000000" w:themeColor="text1"/>
          <w:sz w:val="22"/>
          <w:szCs w:val="22"/>
          <w:lang w:val="en-GB"/>
        </w:rPr>
        <w:t>this</w:t>
      </w:r>
      <w:r w:rsidR="00121137">
        <w:rPr>
          <w:rFonts w:ascii="Gellix" w:hAnsi="Gellix"/>
          <w:color w:val="000000" w:themeColor="text1"/>
          <w:sz w:val="22"/>
          <w:szCs w:val="22"/>
          <w:lang w:val="en-GB"/>
        </w:rPr>
        <w:t xml:space="preserve"> </w:t>
      </w:r>
      <w:r w:rsidR="00CC7030">
        <w:rPr>
          <w:rFonts w:ascii="Gellix" w:hAnsi="Gellix"/>
          <w:color w:val="000000" w:themeColor="text1"/>
          <w:sz w:val="22"/>
          <w:szCs w:val="22"/>
          <w:lang w:val="en-GB"/>
        </w:rPr>
        <w:t>research and development</w:t>
      </w:r>
      <w:r w:rsidR="00472FE0">
        <w:rPr>
          <w:rFonts w:ascii="Gellix" w:hAnsi="Gellix"/>
          <w:color w:val="000000" w:themeColor="text1"/>
          <w:sz w:val="22"/>
          <w:szCs w:val="22"/>
          <w:lang w:val="en-GB"/>
        </w:rPr>
        <w:t xml:space="preserve"> project</w:t>
      </w:r>
      <w:r w:rsidR="00CC7030">
        <w:rPr>
          <w:rFonts w:ascii="Gellix" w:hAnsi="Gellix"/>
          <w:color w:val="000000" w:themeColor="text1"/>
          <w:sz w:val="22"/>
          <w:szCs w:val="22"/>
          <w:lang w:val="en-GB"/>
        </w:rPr>
        <w:t xml:space="preserve">, they need to </w:t>
      </w:r>
      <w:r w:rsidR="002F18B7">
        <w:rPr>
          <w:rFonts w:ascii="Gellix" w:hAnsi="Gellix"/>
          <w:color w:val="000000" w:themeColor="text1"/>
          <w:sz w:val="22"/>
          <w:szCs w:val="22"/>
          <w:lang w:val="en-GB"/>
        </w:rPr>
        <w:t xml:space="preserve">prove that the investment </w:t>
      </w:r>
      <w:r w:rsidR="00472FE0">
        <w:rPr>
          <w:rFonts w:ascii="Gellix" w:hAnsi="Gellix"/>
          <w:color w:val="000000" w:themeColor="text1"/>
          <w:sz w:val="22"/>
          <w:szCs w:val="22"/>
          <w:lang w:val="en-GB"/>
        </w:rPr>
        <w:t xml:space="preserve">will generate future </w:t>
      </w:r>
      <w:r w:rsidR="00842B64">
        <w:rPr>
          <w:rFonts w:ascii="Gellix" w:hAnsi="Gellix"/>
          <w:color w:val="000000" w:themeColor="text1"/>
          <w:sz w:val="22"/>
          <w:szCs w:val="22"/>
          <w:lang w:val="en-GB"/>
        </w:rPr>
        <w:t>taxable profits</w:t>
      </w:r>
      <w:r w:rsidR="00894308">
        <w:rPr>
          <w:rFonts w:ascii="Gellix" w:hAnsi="Gellix"/>
          <w:color w:val="000000" w:themeColor="text1"/>
          <w:sz w:val="22"/>
          <w:szCs w:val="22"/>
          <w:lang w:val="en-GB"/>
        </w:rPr>
        <w:t>,</w:t>
      </w:r>
      <w:r w:rsidR="002F18B7">
        <w:rPr>
          <w:rFonts w:ascii="Gellix" w:hAnsi="Gellix"/>
          <w:color w:val="000000" w:themeColor="text1"/>
          <w:sz w:val="22"/>
          <w:szCs w:val="22"/>
          <w:lang w:val="en-GB"/>
        </w:rPr>
        <w:t xml:space="preserve"> which is not easily done given that it is first and foremost aimed at reaching sustainability goals. </w:t>
      </w:r>
    </w:p>
    <w:p w14:paraId="12F1EB90" w14:textId="77777777" w:rsidR="00121137" w:rsidRDefault="00121137" w:rsidP="00482D35">
      <w:pPr>
        <w:spacing w:line="276" w:lineRule="auto"/>
        <w:rPr>
          <w:rFonts w:ascii="Gellix" w:hAnsi="Gellix"/>
          <w:color w:val="000000" w:themeColor="text1"/>
          <w:sz w:val="22"/>
          <w:szCs w:val="22"/>
          <w:lang w:val="en-GB"/>
        </w:rPr>
      </w:pPr>
    </w:p>
    <w:p w14:paraId="1CBFADDE" w14:textId="261D079F" w:rsidR="002F18B7" w:rsidRDefault="002F18B7" w:rsidP="00482D35">
      <w:pPr>
        <w:spacing w:line="276" w:lineRule="auto"/>
        <w:rPr>
          <w:rFonts w:ascii="Gellix" w:hAnsi="Gellix"/>
          <w:color w:val="000000" w:themeColor="text1"/>
          <w:sz w:val="22"/>
          <w:szCs w:val="22"/>
          <w:lang w:val="en-GB"/>
        </w:rPr>
      </w:pPr>
      <w:r>
        <w:rPr>
          <w:rFonts w:ascii="Gellix" w:hAnsi="Gellix"/>
          <w:color w:val="000000" w:themeColor="text1"/>
          <w:sz w:val="22"/>
          <w:szCs w:val="22"/>
          <w:lang w:val="en-GB"/>
        </w:rPr>
        <w:t xml:space="preserve">In accordance with </w:t>
      </w:r>
      <w:r w:rsidR="002372CD">
        <w:rPr>
          <w:rFonts w:ascii="Gellix" w:hAnsi="Gellix"/>
          <w:color w:val="000000" w:themeColor="text1"/>
          <w:sz w:val="22"/>
          <w:szCs w:val="22"/>
          <w:lang w:val="en-GB"/>
        </w:rPr>
        <w:t>the Swedish Income Tax Act</w:t>
      </w:r>
      <w:r>
        <w:rPr>
          <w:rFonts w:ascii="Gellix" w:hAnsi="Gellix"/>
          <w:color w:val="000000" w:themeColor="text1"/>
          <w:sz w:val="22"/>
          <w:szCs w:val="22"/>
          <w:lang w:val="en-GB"/>
        </w:rPr>
        <w:t xml:space="preserve">, companies who run a business must </w:t>
      </w:r>
      <w:r w:rsidR="00933498">
        <w:rPr>
          <w:rFonts w:ascii="Gellix" w:hAnsi="Gellix"/>
          <w:color w:val="000000" w:themeColor="text1"/>
          <w:sz w:val="22"/>
          <w:szCs w:val="22"/>
          <w:lang w:val="en-GB"/>
        </w:rPr>
        <w:t xml:space="preserve">(only) </w:t>
      </w:r>
      <w:r>
        <w:rPr>
          <w:rFonts w:ascii="Gellix" w:hAnsi="Gellix"/>
          <w:color w:val="000000" w:themeColor="text1"/>
          <w:sz w:val="22"/>
          <w:szCs w:val="22"/>
          <w:lang w:val="en-GB"/>
        </w:rPr>
        <w:t xml:space="preserve">deduct expenses for </w:t>
      </w:r>
      <w:r w:rsidR="001F2269">
        <w:rPr>
          <w:rFonts w:ascii="Gellix" w:hAnsi="Gellix"/>
          <w:color w:val="000000" w:themeColor="text1"/>
          <w:sz w:val="22"/>
          <w:szCs w:val="22"/>
          <w:lang w:val="en-GB"/>
        </w:rPr>
        <w:t>"</w:t>
      </w:r>
      <w:r>
        <w:rPr>
          <w:rFonts w:ascii="Gellix" w:hAnsi="Gellix"/>
          <w:color w:val="000000" w:themeColor="text1"/>
          <w:sz w:val="22"/>
          <w:szCs w:val="22"/>
          <w:lang w:val="en-GB"/>
        </w:rPr>
        <w:t>acquiring and maintaining income</w:t>
      </w:r>
      <w:r w:rsidR="001F2269">
        <w:rPr>
          <w:rFonts w:ascii="Gellix" w:hAnsi="Gellix"/>
          <w:color w:val="000000" w:themeColor="text1"/>
          <w:sz w:val="22"/>
          <w:szCs w:val="22"/>
          <w:lang w:val="en-GB"/>
        </w:rPr>
        <w:t>"</w:t>
      </w:r>
      <w:r>
        <w:rPr>
          <w:rFonts w:ascii="Gellix" w:hAnsi="Gellix"/>
          <w:color w:val="000000" w:themeColor="text1"/>
          <w:sz w:val="22"/>
          <w:szCs w:val="22"/>
          <w:lang w:val="en-GB"/>
        </w:rPr>
        <w:t xml:space="preserve"> during income taxation</w:t>
      </w:r>
      <w:r w:rsidR="00F03460">
        <w:rPr>
          <w:rStyle w:val="Fotnotsreferens"/>
          <w:rFonts w:ascii="Gellix" w:hAnsi="Gellix"/>
          <w:color w:val="000000" w:themeColor="text1"/>
          <w:sz w:val="22"/>
          <w:szCs w:val="22"/>
          <w:lang w:val="en-GB"/>
        </w:rPr>
        <w:footnoteReference w:id="3"/>
      </w:r>
      <w:r>
        <w:rPr>
          <w:rFonts w:ascii="Gellix" w:hAnsi="Gellix"/>
          <w:color w:val="000000" w:themeColor="text1"/>
          <w:sz w:val="22"/>
          <w:szCs w:val="22"/>
          <w:lang w:val="en-GB"/>
        </w:rPr>
        <w:t xml:space="preserve">. </w:t>
      </w:r>
      <w:r w:rsidR="00DA03C1">
        <w:rPr>
          <w:rFonts w:ascii="Gellix" w:hAnsi="Gellix"/>
          <w:color w:val="000000" w:themeColor="text1"/>
          <w:sz w:val="22"/>
          <w:szCs w:val="22"/>
          <w:lang w:val="en-GB"/>
        </w:rPr>
        <w:lastRenderedPageBreak/>
        <w:t>This is furt</w:t>
      </w:r>
      <w:r w:rsidR="001F2269">
        <w:rPr>
          <w:rFonts w:ascii="Gellix" w:hAnsi="Gellix"/>
          <w:color w:val="000000" w:themeColor="text1"/>
          <w:sz w:val="22"/>
          <w:szCs w:val="22"/>
          <w:lang w:val="en-GB"/>
        </w:rPr>
        <w:t>h</w:t>
      </w:r>
      <w:r w:rsidR="00DA03C1">
        <w:rPr>
          <w:rFonts w:ascii="Gellix" w:hAnsi="Gellix"/>
          <w:color w:val="000000" w:themeColor="text1"/>
          <w:sz w:val="22"/>
          <w:szCs w:val="22"/>
          <w:lang w:val="en-GB"/>
        </w:rPr>
        <w:t>er clarif</w:t>
      </w:r>
      <w:r w:rsidR="00994E8D">
        <w:rPr>
          <w:rFonts w:ascii="Gellix" w:hAnsi="Gellix"/>
          <w:color w:val="000000" w:themeColor="text1"/>
          <w:sz w:val="22"/>
          <w:szCs w:val="22"/>
          <w:lang w:val="en-GB"/>
        </w:rPr>
        <w:t>i</w:t>
      </w:r>
      <w:r w:rsidR="00DA03C1">
        <w:rPr>
          <w:rFonts w:ascii="Gellix" w:hAnsi="Gellix"/>
          <w:color w:val="000000" w:themeColor="text1"/>
          <w:sz w:val="22"/>
          <w:szCs w:val="22"/>
          <w:lang w:val="en-GB"/>
        </w:rPr>
        <w:t xml:space="preserve">ed </w:t>
      </w:r>
      <w:r w:rsidR="001F2269">
        <w:rPr>
          <w:rFonts w:ascii="Gellix" w:hAnsi="Gellix"/>
          <w:color w:val="000000" w:themeColor="text1"/>
          <w:sz w:val="22"/>
          <w:szCs w:val="22"/>
          <w:lang w:val="en-GB"/>
        </w:rPr>
        <w:t xml:space="preserve">by </w:t>
      </w:r>
      <w:r w:rsidR="00241896">
        <w:rPr>
          <w:rFonts w:ascii="Gellix" w:hAnsi="Gellix"/>
          <w:color w:val="000000" w:themeColor="text1"/>
          <w:sz w:val="22"/>
          <w:szCs w:val="22"/>
          <w:lang w:val="en-GB"/>
        </w:rPr>
        <w:t>a</w:t>
      </w:r>
      <w:r w:rsidR="000E79F0">
        <w:rPr>
          <w:rFonts w:ascii="Gellix" w:hAnsi="Gellix"/>
          <w:color w:val="000000" w:themeColor="text1"/>
          <w:sz w:val="22"/>
          <w:szCs w:val="22"/>
          <w:lang w:val="en-GB"/>
        </w:rPr>
        <w:t xml:space="preserve"> regulation</w:t>
      </w:r>
      <w:r w:rsidR="00994E8D">
        <w:rPr>
          <w:rFonts w:ascii="Gellix" w:hAnsi="Gellix"/>
          <w:color w:val="000000" w:themeColor="text1"/>
          <w:sz w:val="22"/>
          <w:szCs w:val="22"/>
          <w:lang w:val="en-GB"/>
        </w:rPr>
        <w:t xml:space="preserve"> that </w:t>
      </w:r>
      <w:r w:rsidR="00AE1AD5">
        <w:rPr>
          <w:rFonts w:ascii="Gellix" w:hAnsi="Gellix"/>
          <w:color w:val="000000" w:themeColor="text1"/>
          <w:sz w:val="22"/>
          <w:szCs w:val="22"/>
          <w:lang w:val="en-GB"/>
        </w:rPr>
        <w:t>"</w:t>
      </w:r>
      <w:r>
        <w:rPr>
          <w:rFonts w:ascii="Gellix" w:hAnsi="Gellix"/>
          <w:color w:val="000000" w:themeColor="text1"/>
          <w:sz w:val="22"/>
          <w:szCs w:val="22"/>
          <w:lang w:val="en-GB"/>
        </w:rPr>
        <w:t>gifts</w:t>
      </w:r>
      <w:r w:rsidR="00AE1AD5">
        <w:rPr>
          <w:rFonts w:ascii="Gellix" w:hAnsi="Gellix"/>
          <w:color w:val="000000" w:themeColor="text1"/>
          <w:sz w:val="22"/>
          <w:szCs w:val="22"/>
          <w:lang w:val="en-GB"/>
        </w:rPr>
        <w:t>"</w:t>
      </w:r>
      <w:r>
        <w:rPr>
          <w:rFonts w:ascii="Gellix" w:hAnsi="Gellix"/>
          <w:color w:val="000000" w:themeColor="text1"/>
          <w:sz w:val="22"/>
          <w:szCs w:val="22"/>
          <w:lang w:val="en-GB"/>
        </w:rPr>
        <w:t xml:space="preserve"> may not be deducted.</w:t>
      </w:r>
      <w:r>
        <w:rPr>
          <w:rStyle w:val="Fotnotsreferens"/>
          <w:rFonts w:ascii="Gellix" w:hAnsi="Gellix"/>
          <w:color w:val="000000" w:themeColor="text1"/>
          <w:sz w:val="22"/>
          <w:szCs w:val="22"/>
          <w:lang w:val="en-GB"/>
        </w:rPr>
        <w:footnoteReference w:id="4"/>
      </w:r>
      <w:r>
        <w:rPr>
          <w:rFonts w:ascii="Gellix" w:hAnsi="Gellix"/>
          <w:color w:val="000000" w:themeColor="text1"/>
          <w:sz w:val="22"/>
          <w:szCs w:val="22"/>
          <w:lang w:val="en-GB"/>
        </w:rPr>
        <w:t xml:space="preserve"> </w:t>
      </w:r>
      <w:r w:rsidR="007C2843">
        <w:rPr>
          <w:rFonts w:ascii="Gellix" w:hAnsi="Gellix"/>
          <w:color w:val="000000" w:themeColor="text1"/>
          <w:sz w:val="22"/>
          <w:szCs w:val="22"/>
          <w:lang w:val="en-GB"/>
        </w:rPr>
        <w:t>Case law has taken a very restrictive view on t</w:t>
      </w:r>
      <w:r w:rsidR="004A3383">
        <w:rPr>
          <w:rFonts w:ascii="Gellix" w:hAnsi="Gellix"/>
          <w:color w:val="000000" w:themeColor="text1"/>
          <w:sz w:val="22"/>
          <w:szCs w:val="22"/>
          <w:lang w:val="en-GB"/>
        </w:rPr>
        <w:t>he</w:t>
      </w:r>
      <w:r w:rsidR="00994E8D">
        <w:rPr>
          <w:rFonts w:ascii="Gellix" w:hAnsi="Gellix"/>
          <w:color w:val="000000" w:themeColor="text1"/>
          <w:sz w:val="22"/>
          <w:szCs w:val="22"/>
          <w:lang w:val="en-GB"/>
        </w:rPr>
        <w:t xml:space="preserve"> </w:t>
      </w:r>
      <w:r w:rsidR="00983770">
        <w:rPr>
          <w:rFonts w:ascii="Gellix" w:hAnsi="Gellix"/>
          <w:color w:val="000000" w:themeColor="text1"/>
          <w:sz w:val="22"/>
          <w:szCs w:val="22"/>
          <w:lang w:val="en-GB"/>
        </w:rPr>
        <w:t xml:space="preserve">link between </w:t>
      </w:r>
      <w:r w:rsidR="00153A5E">
        <w:rPr>
          <w:rFonts w:ascii="Gellix" w:hAnsi="Gellix"/>
          <w:color w:val="000000" w:themeColor="text1"/>
          <w:sz w:val="22"/>
          <w:szCs w:val="22"/>
          <w:lang w:val="en-GB"/>
        </w:rPr>
        <w:t xml:space="preserve">certain </w:t>
      </w:r>
      <w:r w:rsidR="00983770">
        <w:rPr>
          <w:rFonts w:ascii="Gellix" w:hAnsi="Gellix"/>
          <w:color w:val="000000" w:themeColor="text1"/>
          <w:sz w:val="22"/>
          <w:szCs w:val="22"/>
          <w:lang w:val="en-GB"/>
        </w:rPr>
        <w:t>expenses an</w:t>
      </w:r>
      <w:r w:rsidR="00E14C0C">
        <w:rPr>
          <w:rFonts w:ascii="Gellix" w:hAnsi="Gellix"/>
          <w:color w:val="000000" w:themeColor="text1"/>
          <w:sz w:val="22"/>
          <w:szCs w:val="22"/>
          <w:lang w:val="en-GB"/>
        </w:rPr>
        <w:t>d</w:t>
      </w:r>
      <w:r w:rsidR="00983770">
        <w:rPr>
          <w:rFonts w:ascii="Gellix" w:hAnsi="Gellix"/>
          <w:color w:val="000000" w:themeColor="text1"/>
          <w:sz w:val="22"/>
          <w:szCs w:val="22"/>
          <w:lang w:val="en-GB"/>
        </w:rPr>
        <w:t xml:space="preserve"> the acquisition and </w:t>
      </w:r>
      <w:r w:rsidR="00E14C0C">
        <w:rPr>
          <w:rFonts w:ascii="Gellix" w:hAnsi="Gellix"/>
          <w:color w:val="000000" w:themeColor="text1"/>
          <w:sz w:val="22"/>
          <w:szCs w:val="22"/>
          <w:lang w:val="en-GB"/>
        </w:rPr>
        <w:t>maintenance of income</w:t>
      </w:r>
      <w:r w:rsidR="007C2843">
        <w:rPr>
          <w:rFonts w:ascii="Gellix" w:hAnsi="Gellix"/>
          <w:color w:val="000000" w:themeColor="text1"/>
          <w:sz w:val="22"/>
          <w:szCs w:val="22"/>
          <w:lang w:val="en-GB"/>
        </w:rPr>
        <w:t xml:space="preserve">, whilst "gifts" have been </w:t>
      </w:r>
      <w:r w:rsidR="007D6990">
        <w:rPr>
          <w:rFonts w:ascii="Gellix" w:hAnsi="Gellix"/>
          <w:color w:val="000000" w:themeColor="text1"/>
          <w:sz w:val="22"/>
          <w:szCs w:val="22"/>
          <w:lang w:val="en-GB"/>
        </w:rPr>
        <w:t>give</w:t>
      </w:r>
      <w:r w:rsidR="00933498">
        <w:rPr>
          <w:rFonts w:ascii="Gellix" w:hAnsi="Gellix"/>
          <w:color w:val="000000" w:themeColor="text1"/>
          <w:sz w:val="22"/>
          <w:szCs w:val="22"/>
          <w:lang w:val="en-GB"/>
        </w:rPr>
        <w:t>n</w:t>
      </w:r>
      <w:r w:rsidR="007D6990">
        <w:rPr>
          <w:rFonts w:ascii="Gellix" w:hAnsi="Gellix"/>
          <w:color w:val="000000" w:themeColor="text1"/>
          <w:sz w:val="22"/>
          <w:szCs w:val="22"/>
          <w:lang w:val="en-GB"/>
        </w:rPr>
        <w:t xml:space="preserve"> a broad interpretation</w:t>
      </w:r>
      <w:r w:rsidR="003B5BD6">
        <w:rPr>
          <w:rFonts w:ascii="Gellix" w:hAnsi="Gellix"/>
          <w:color w:val="000000" w:themeColor="text1"/>
          <w:sz w:val="22"/>
          <w:szCs w:val="22"/>
          <w:lang w:val="en-GB"/>
        </w:rPr>
        <w:t xml:space="preserve"> - covering almost all kind</w:t>
      </w:r>
      <w:r w:rsidR="00C92D13">
        <w:rPr>
          <w:rFonts w:ascii="Gellix" w:hAnsi="Gellix"/>
          <w:color w:val="000000" w:themeColor="text1"/>
          <w:sz w:val="22"/>
          <w:szCs w:val="22"/>
          <w:lang w:val="en-GB"/>
        </w:rPr>
        <w:t>s</w:t>
      </w:r>
      <w:r w:rsidR="003B5BD6">
        <w:rPr>
          <w:rFonts w:ascii="Gellix" w:hAnsi="Gellix"/>
          <w:color w:val="000000" w:themeColor="text1"/>
          <w:sz w:val="22"/>
          <w:szCs w:val="22"/>
          <w:lang w:val="en-GB"/>
        </w:rPr>
        <w:t xml:space="preserve"> of </w:t>
      </w:r>
      <w:r w:rsidR="00AF28D1">
        <w:rPr>
          <w:rFonts w:ascii="Gellix" w:hAnsi="Gellix"/>
          <w:color w:val="000000" w:themeColor="text1"/>
          <w:sz w:val="22"/>
          <w:szCs w:val="22"/>
          <w:lang w:val="en-GB"/>
        </w:rPr>
        <w:t xml:space="preserve">initiatives that are </w:t>
      </w:r>
      <w:r w:rsidR="00241896">
        <w:rPr>
          <w:rFonts w:ascii="Gellix" w:hAnsi="Gellix"/>
          <w:color w:val="000000" w:themeColor="text1"/>
          <w:sz w:val="22"/>
          <w:szCs w:val="22"/>
          <w:lang w:val="en-GB"/>
        </w:rPr>
        <w:t xml:space="preserve">only </w:t>
      </w:r>
      <w:r w:rsidR="00AF28D1">
        <w:rPr>
          <w:rFonts w:ascii="Gellix" w:hAnsi="Gellix"/>
          <w:color w:val="000000" w:themeColor="text1"/>
          <w:sz w:val="22"/>
          <w:szCs w:val="22"/>
          <w:lang w:val="en-GB"/>
        </w:rPr>
        <w:t>indirectly linked to the profit making of companies</w:t>
      </w:r>
      <w:r w:rsidR="007D7AAD">
        <w:rPr>
          <w:rFonts w:ascii="Gellix" w:hAnsi="Gellix"/>
          <w:color w:val="000000" w:themeColor="text1"/>
          <w:sz w:val="22"/>
          <w:szCs w:val="22"/>
          <w:lang w:val="en-GB"/>
        </w:rPr>
        <w:t xml:space="preserve">. </w:t>
      </w:r>
      <w:r>
        <w:rPr>
          <w:rFonts w:ascii="Gellix" w:hAnsi="Gellix"/>
          <w:color w:val="000000" w:themeColor="text1"/>
          <w:sz w:val="22"/>
          <w:szCs w:val="22"/>
          <w:lang w:val="en-GB"/>
        </w:rPr>
        <w:t xml:space="preserve">Two notable </w:t>
      </w:r>
      <w:r w:rsidR="00AF28D1">
        <w:rPr>
          <w:rFonts w:ascii="Gellix" w:hAnsi="Gellix"/>
          <w:color w:val="000000" w:themeColor="text1"/>
          <w:sz w:val="22"/>
          <w:szCs w:val="22"/>
          <w:lang w:val="en-GB"/>
        </w:rPr>
        <w:t>examples of this</w:t>
      </w:r>
      <w:r w:rsidR="00C2623E">
        <w:rPr>
          <w:rStyle w:val="Fotnotsreferens"/>
          <w:rFonts w:ascii="Gellix" w:hAnsi="Gellix"/>
          <w:color w:val="000000" w:themeColor="text1"/>
          <w:sz w:val="22"/>
          <w:szCs w:val="22"/>
          <w:lang w:val="en-GB"/>
        </w:rPr>
        <w:footnoteReference w:id="5"/>
      </w:r>
      <w:r w:rsidR="00C2623E">
        <w:rPr>
          <w:rFonts w:ascii="Gellix" w:hAnsi="Gellix"/>
          <w:color w:val="000000" w:themeColor="text1"/>
          <w:sz w:val="22"/>
          <w:szCs w:val="22"/>
          <w:lang w:val="en-GB"/>
        </w:rPr>
        <w:t xml:space="preserve"> </w:t>
      </w:r>
      <w:r w:rsidR="00C418FC">
        <w:rPr>
          <w:rFonts w:ascii="Gellix" w:hAnsi="Gellix"/>
          <w:color w:val="000000" w:themeColor="text1"/>
          <w:sz w:val="22"/>
          <w:szCs w:val="22"/>
          <w:lang w:val="en-GB"/>
        </w:rPr>
        <w:t>are</w:t>
      </w:r>
      <w:r w:rsidR="006136BF">
        <w:rPr>
          <w:rFonts w:ascii="Gellix" w:hAnsi="Gellix"/>
          <w:color w:val="000000" w:themeColor="text1"/>
          <w:sz w:val="22"/>
          <w:szCs w:val="22"/>
          <w:lang w:val="en-GB"/>
        </w:rPr>
        <w:t xml:space="preserve"> cases where </w:t>
      </w:r>
      <w:r w:rsidR="00A5225C">
        <w:rPr>
          <w:rFonts w:ascii="Gellix" w:hAnsi="Gellix"/>
          <w:color w:val="000000" w:themeColor="text1"/>
          <w:sz w:val="22"/>
          <w:szCs w:val="22"/>
          <w:lang w:val="en-GB"/>
        </w:rPr>
        <w:t xml:space="preserve">the Supreme Administrative Court made it clear that costs </w:t>
      </w:r>
      <w:r>
        <w:rPr>
          <w:rFonts w:ascii="Gellix" w:hAnsi="Gellix"/>
          <w:color w:val="000000" w:themeColor="text1"/>
          <w:sz w:val="22"/>
          <w:szCs w:val="22"/>
          <w:lang w:val="en-GB"/>
        </w:rPr>
        <w:t xml:space="preserve">concerning carbon offsetting are not to be considered deductible expenses for companies, unless </w:t>
      </w:r>
      <w:r w:rsidR="00C63238">
        <w:rPr>
          <w:rFonts w:ascii="Gellix" w:hAnsi="Gellix"/>
          <w:color w:val="000000" w:themeColor="text1"/>
          <w:sz w:val="22"/>
          <w:szCs w:val="22"/>
          <w:lang w:val="en-GB"/>
        </w:rPr>
        <w:t>substantial</w:t>
      </w:r>
      <w:r w:rsidR="00CD7DB2">
        <w:rPr>
          <w:rFonts w:ascii="Gellix" w:hAnsi="Gellix"/>
          <w:color w:val="000000" w:themeColor="text1"/>
          <w:sz w:val="22"/>
          <w:szCs w:val="22"/>
          <w:lang w:val="en-GB"/>
        </w:rPr>
        <w:t>ly</w:t>
      </w:r>
      <w:r w:rsidR="00C63238">
        <w:rPr>
          <w:rFonts w:ascii="Gellix" w:hAnsi="Gellix"/>
          <w:color w:val="000000" w:themeColor="text1"/>
          <w:sz w:val="22"/>
          <w:szCs w:val="22"/>
          <w:lang w:val="en-GB"/>
        </w:rPr>
        <w:t xml:space="preserve"> </w:t>
      </w:r>
      <w:r>
        <w:rPr>
          <w:rFonts w:ascii="Gellix" w:hAnsi="Gellix"/>
          <w:color w:val="000000" w:themeColor="text1"/>
          <w:sz w:val="22"/>
          <w:szCs w:val="22"/>
          <w:lang w:val="en-GB"/>
        </w:rPr>
        <w:t xml:space="preserve">promoted in advertising. Only then </w:t>
      </w:r>
      <w:r w:rsidR="00CD7DB2">
        <w:rPr>
          <w:rFonts w:ascii="Gellix" w:hAnsi="Gellix"/>
          <w:color w:val="000000" w:themeColor="text1"/>
          <w:sz w:val="22"/>
          <w:szCs w:val="22"/>
          <w:lang w:val="en-GB"/>
        </w:rPr>
        <w:t xml:space="preserve">are </w:t>
      </w:r>
      <w:r>
        <w:rPr>
          <w:rFonts w:ascii="Gellix" w:hAnsi="Gellix"/>
          <w:color w:val="000000" w:themeColor="text1"/>
          <w:sz w:val="22"/>
          <w:szCs w:val="22"/>
          <w:lang w:val="en-GB"/>
        </w:rPr>
        <w:t>they seen as impacting revenue. This would of course require companies who are making climate investments to also spend additional funds on marketing these efforts. The additional expenses thus required is a disincentive to make the investment in the first place.</w:t>
      </w:r>
      <w:r w:rsidR="002D257C">
        <w:rPr>
          <w:rFonts w:ascii="Gellix" w:hAnsi="Gellix"/>
          <w:color w:val="000000" w:themeColor="text1"/>
          <w:sz w:val="22"/>
          <w:szCs w:val="22"/>
          <w:lang w:val="en-GB"/>
        </w:rPr>
        <w:t xml:space="preserve"> We </w:t>
      </w:r>
      <w:r w:rsidR="00241896">
        <w:rPr>
          <w:rFonts w:ascii="Gellix" w:hAnsi="Gellix"/>
          <w:color w:val="000000" w:themeColor="text1"/>
          <w:sz w:val="22"/>
          <w:szCs w:val="22"/>
          <w:lang w:val="en-GB"/>
        </w:rPr>
        <w:t>deem</w:t>
      </w:r>
      <w:r w:rsidR="002D257C">
        <w:rPr>
          <w:rFonts w:ascii="Gellix" w:hAnsi="Gellix"/>
          <w:color w:val="000000" w:themeColor="text1"/>
          <w:sz w:val="22"/>
          <w:szCs w:val="22"/>
          <w:lang w:val="en-GB"/>
        </w:rPr>
        <w:t xml:space="preserve"> the cases to be applicable to </w:t>
      </w:r>
      <w:r w:rsidR="00C2623E">
        <w:rPr>
          <w:rFonts w:ascii="Gellix" w:hAnsi="Gellix"/>
          <w:color w:val="000000" w:themeColor="text1"/>
          <w:sz w:val="22"/>
          <w:szCs w:val="22"/>
          <w:lang w:val="en-GB"/>
        </w:rPr>
        <w:t>i</w:t>
      </w:r>
      <w:r w:rsidR="00241896">
        <w:rPr>
          <w:rFonts w:ascii="Gellix" w:hAnsi="Gellix"/>
          <w:color w:val="000000" w:themeColor="text1"/>
          <w:sz w:val="22"/>
          <w:szCs w:val="22"/>
          <w:lang w:val="en-GB"/>
        </w:rPr>
        <w:t>nvestments to reduce and capture c</w:t>
      </w:r>
      <w:r w:rsidR="00C2623E">
        <w:rPr>
          <w:rFonts w:ascii="Gellix" w:hAnsi="Gellix"/>
          <w:color w:val="000000" w:themeColor="text1"/>
          <w:sz w:val="22"/>
          <w:szCs w:val="22"/>
          <w:lang w:val="en-GB"/>
        </w:rPr>
        <w:t>a</w:t>
      </w:r>
      <w:r w:rsidR="00241896">
        <w:rPr>
          <w:rFonts w:ascii="Gellix" w:hAnsi="Gellix"/>
          <w:color w:val="000000" w:themeColor="text1"/>
          <w:sz w:val="22"/>
          <w:szCs w:val="22"/>
          <w:lang w:val="en-GB"/>
        </w:rPr>
        <w:t>rbon as well.</w:t>
      </w:r>
    </w:p>
    <w:p w14:paraId="72E15511" w14:textId="67BD10BD" w:rsidR="002F18B7" w:rsidRDefault="002F18B7" w:rsidP="00482D35">
      <w:pPr>
        <w:spacing w:line="276" w:lineRule="auto"/>
        <w:rPr>
          <w:rFonts w:ascii="Gellix" w:hAnsi="Gellix"/>
          <w:color w:val="000000" w:themeColor="text1"/>
          <w:sz w:val="22"/>
          <w:szCs w:val="22"/>
          <w:lang w:val="en-GB"/>
        </w:rPr>
      </w:pPr>
    </w:p>
    <w:p w14:paraId="6C12F43C" w14:textId="142D637A" w:rsidR="00C2623E" w:rsidRPr="00736227" w:rsidRDefault="002F18B7" w:rsidP="00467205">
      <w:pPr>
        <w:spacing w:line="276" w:lineRule="auto"/>
        <w:rPr>
          <w:lang w:val="en-GB"/>
        </w:rPr>
      </w:pPr>
      <w:r>
        <w:rPr>
          <w:rFonts w:ascii="Gellix" w:hAnsi="Gellix"/>
          <w:color w:val="000000" w:themeColor="text1"/>
          <w:sz w:val="22"/>
          <w:szCs w:val="22"/>
          <w:lang w:val="en-GB"/>
        </w:rPr>
        <w:t>The experiences of some multinational Swedish companies have suggested that this is steering climate investments away from Sweden, as they themselves, due to the lack of incentives, instead direct them to jurisdictions with a more incentivising tax policy.</w:t>
      </w:r>
    </w:p>
    <w:p w14:paraId="636276B0" w14:textId="6C5F1FAF" w:rsidR="00A35ED3" w:rsidRDefault="00A35ED3" w:rsidP="00467205">
      <w:pPr>
        <w:pStyle w:val="Rubrik2"/>
        <w:shd w:val="clear" w:color="auto" w:fill="FFFFFF"/>
        <w:spacing w:line="276" w:lineRule="auto"/>
        <w:textAlignment w:val="baseline"/>
        <w:rPr>
          <w:rFonts w:ascii="Gellix" w:hAnsi="Gellix"/>
          <w:color w:val="000000" w:themeColor="text1"/>
          <w:sz w:val="22"/>
          <w:szCs w:val="22"/>
          <w:lang w:val="en-GB"/>
        </w:rPr>
      </w:pPr>
    </w:p>
    <w:p w14:paraId="48D32461" w14:textId="4AD31A3F" w:rsidR="00D8140D" w:rsidRDefault="00D8140D" w:rsidP="00482D35">
      <w:pPr>
        <w:spacing w:line="276" w:lineRule="auto"/>
        <w:rPr>
          <w:rFonts w:ascii="Gellix" w:hAnsi="Gellix"/>
          <w:color w:val="000000" w:themeColor="text1"/>
          <w:sz w:val="22"/>
          <w:szCs w:val="22"/>
          <w:lang w:val="en-GB"/>
        </w:rPr>
      </w:pPr>
      <w:r w:rsidRPr="00D8140D">
        <w:rPr>
          <w:rFonts w:ascii="Gellix" w:hAnsi="Gellix"/>
          <w:color w:val="000000" w:themeColor="text1"/>
          <w:sz w:val="22"/>
          <w:szCs w:val="22"/>
          <w:lang w:val="en-GB"/>
        </w:rPr>
        <w:t>Investments in climate-related research projects in collaboration with other actors such as companies, governments and academia should therefore be considered as deductible business expenses, regardless of whether such an investment can demonstrably yield future taxable profits or not. Cooperation in partnership (SDG 17, Partnership for the Goals) is an important part of the UN Agenda 2030 which is encouraged by governments.</w:t>
      </w:r>
    </w:p>
    <w:p w14:paraId="000FFB45" w14:textId="00274250" w:rsidR="00E357CC" w:rsidRDefault="00E357CC" w:rsidP="00482D35">
      <w:pPr>
        <w:spacing w:line="276" w:lineRule="auto"/>
        <w:rPr>
          <w:rFonts w:ascii="Gellix" w:hAnsi="Gellix"/>
          <w:color w:val="000000" w:themeColor="text1"/>
          <w:sz w:val="22"/>
          <w:szCs w:val="22"/>
          <w:lang w:val="en-GB"/>
        </w:rPr>
      </w:pPr>
    </w:p>
    <w:p w14:paraId="34B3E100" w14:textId="051A3F12" w:rsidR="002F18B7" w:rsidRDefault="00E357CC" w:rsidP="00482D35">
      <w:pPr>
        <w:spacing w:line="276" w:lineRule="auto"/>
        <w:rPr>
          <w:rFonts w:ascii="Gellix" w:hAnsi="Gellix"/>
          <w:color w:val="000000" w:themeColor="text1"/>
          <w:sz w:val="22"/>
          <w:szCs w:val="22"/>
          <w:lang w:val="en-GB"/>
        </w:rPr>
      </w:pPr>
      <w:r w:rsidRPr="00D664A5">
        <w:rPr>
          <w:rFonts w:ascii="Gellix" w:hAnsi="Gellix"/>
          <w:color w:val="007DFF"/>
          <w:sz w:val="22"/>
          <w:szCs w:val="22"/>
          <w:lang w:val="en-GB"/>
        </w:rPr>
        <w:t>Case Study: Tax Policy Disincentivising Carbon offsetting</w:t>
      </w:r>
    </w:p>
    <w:p w14:paraId="573863AE" w14:textId="6DEA6B2C" w:rsidR="00C63238" w:rsidRDefault="00C63238" w:rsidP="00482D35">
      <w:pPr>
        <w:spacing w:line="276" w:lineRule="auto"/>
        <w:rPr>
          <w:rFonts w:ascii="Gellix" w:hAnsi="Gellix"/>
          <w:color w:val="000000" w:themeColor="text1"/>
          <w:sz w:val="22"/>
          <w:szCs w:val="22"/>
          <w:lang w:val="en-GB"/>
        </w:rPr>
      </w:pPr>
      <w:r w:rsidRPr="00C63238">
        <w:rPr>
          <w:rFonts w:ascii="Gellix" w:hAnsi="Gellix"/>
          <w:color w:val="000000" w:themeColor="text1"/>
          <w:sz w:val="22"/>
          <w:szCs w:val="22"/>
          <w:lang w:val="en-GB"/>
        </w:rPr>
        <w:t xml:space="preserve">A multinational group with an </w:t>
      </w:r>
      <w:r w:rsidR="00943546">
        <w:rPr>
          <w:rFonts w:ascii="Gellix" w:hAnsi="Gellix"/>
          <w:color w:val="000000" w:themeColor="text1"/>
          <w:sz w:val="22"/>
          <w:szCs w:val="22"/>
          <w:lang w:val="en-GB"/>
        </w:rPr>
        <w:t>ambitious</w:t>
      </w:r>
      <w:r w:rsidR="00D664A5">
        <w:rPr>
          <w:rFonts w:ascii="Gellix" w:hAnsi="Gellix"/>
          <w:color w:val="000000" w:themeColor="text1"/>
          <w:sz w:val="22"/>
          <w:szCs w:val="22"/>
          <w:lang w:val="en-GB"/>
        </w:rPr>
        <w:t xml:space="preserve"> strategy to become carbon</w:t>
      </w:r>
      <w:r w:rsidRPr="00C63238">
        <w:rPr>
          <w:rFonts w:ascii="Gellix" w:hAnsi="Gellix"/>
          <w:color w:val="000000" w:themeColor="text1"/>
          <w:sz w:val="22"/>
          <w:szCs w:val="22"/>
          <w:lang w:val="en-GB"/>
        </w:rPr>
        <w:t xml:space="preserve"> negative across the entire value chain by 2030, in addition to a wide range of efficiency and clean energy initiatives, will plant trees as a nature-based solution to </w:t>
      </w:r>
      <w:r w:rsidR="00D664A5">
        <w:rPr>
          <w:rFonts w:ascii="Gellix" w:hAnsi="Gellix"/>
          <w:color w:val="000000" w:themeColor="text1"/>
          <w:sz w:val="22"/>
          <w:szCs w:val="22"/>
          <w:lang w:val="en-GB"/>
        </w:rPr>
        <w:t xml:space="preserve">address </w:t>
      </w:r>
      <w:r w:rsidRPr="00C63238">
        <w:rPr>
          <w:rFonts w:ascii="Gellix" w:hAnsi="Gellix"/>
          <w:color w:val="000000" w:themeColor="text1"/>
          <w:sz w:val="22"/>
          <w:szCs w:val="22"/>
          <w:lang w:val="en-GB"/>
        </w:rPr>
        <w:t xml:space="preserve">climate change. The Supreme Administrative Court's rulings mentioned in footnote </w:t>
      </w:r>
      <w:r w:rsidR="00BE3795">
        <w:rPr>
          <w:rFonts w:ascii="Gellix" w:hAnsi="Gellix"/>
          <w:color w:val="000000" w:themeColor="text1"/>
          <w:sz w:val="22"/>
          <w:szCs w:val="22"/>
          <w:lang w:val="en-GB"/>
        </w:rPr>
        <w:t>4</w:t>
      </w:r>
      <w:r w:rsidRPr="00C63238">
        <w:rPr>
          <w:rFonts w:ascii="Gellix" w:hAnsi="Gellix"/>
          <w:color w:val="000000" w:themeColor="text1"/>
          <w:sz w:val="22"/>
          <w:szCs w:val="22"/>
          <w:lang w:val="en-GB"/>
        </w:rPr>
        <w:t xml:space="preserve"> make it clear, however, that expenses for climate compensation are only deductible if they are marketed to such an extent that the measures can be expected to have tangible positive effects on the company's sales and results.</w:t>
      </w:r>
    </w:p>
    <w:p w14:paraId="7DBBFBBA" w14:textId="77777777" w:rsidR="00C63238" w:rsidRDefault="00C63238" w:rsidP="00482D35">
      <w:pPr>
        <w:spacing w:line="276" w:lineRule="auto"/>
        <w:rPr>
          <w:rFonts w:ascii="Gellix" w:hAnsi="Gellix"/>
          <w:color w:val="000000" w:themeColor="text1"/>
          <w:sz w:val="22"/>
          <w:szCs w:val="22"/>
          <w:lang w:val="en-GB"/>
        </w:rPr>
      </w:pPr>
    </w:p>
    <w:p w14:paraId="47B526D6" w14:textId="551E5B9D" w:rsidR="002F18B7" w:rsidRDefault="002F18B7" w:rsidP="00482D35">
      <w:pPr>
        <w:spacing w:line="276" w:lineRule="auto"/>
        <w:rPr>
          <w:rFonts w:ascii="Gellix" w:hAnsi="Gellix"/>
          <w:color w:val="007DFF"/>
          <w:sz w:val="22"/>
          <w:szCs w:val="22"/>
          <w:lang w:val="en-GB"/>
        </w:rPr>
      </w:pPr>
      <w:r w:rsidRPr="00482D35">
        <w:rPr>
          <w:rFonts w:ascii="Gellix" w:hAnsi="Gellix"/>
          <w:color w:val="007DFF"/>
          <w:sz w:val="22"/>
          <w:szCs w:val="22"/>
          <w:lang w:val="en-GB"/>
        </w:rPr>
        <w:t>Case Study</w:t>
      </w:r>
      <w:r>
        <w:rPr>
          <w:rFonts w:ascii="Gellix" w:hAnsi="Gellix"/>
          <w:color w:val="007DFF"/>
          <w:sz w:val="22"/>
          <w:szCs w:val="22"/>
          <w:lang w:val="en-GB"/>
        </w:rPr>
        <w:t>: Tax Policy Disincentivising Resource-Efficiency</w:t>
      </w:r>
      <w:r w:rsidR="00D560E5">
        <w:rPr>
          <w:rFonts w:ascii="Gellix" w:hAnsi="Gellix"/>
          <w:color w:val="007DFF"/>
          <w:sz w:val="22"/>
          <w:szCs w:val="22"/>
          <w:lang w:val="en-GB"/>
        </w:rPr>
        <w:t xml:space="preserve"> </w:t>
      </w:r>
    </w:p>
    <w:p w14:paraId="7A02D428" w14:textId="2A33D632" w:rsidR="002F18B7" w:rsidRDefault="002F18B7" w:rsidP="00482D35">
      <w:pPr>
        <w:spacing w:line="276" w:lineRule="auto"/>
        <w:rPr>
          <w:rFonts w:ascii="Gellix" w:hAnsi="Gellix"/>
          <w:color w:val="000000" w:themeColor="text1"/>
          <w:sz w:val="22"/>
          <w:szCs w:val="22"/>
          <w:lang w:val="en-GB"/>
        </w:rPr>
      </w:pPr>
      <w:r>
        <w:rPr>
          <w:rFonts w:ascii="Gellix" w:hAnsi="Gellix"/>
          <w:color w:val="000000" w:themeColor="text1"/>
          <w:sz w:val="22"/>
          <w:szCs w:val="22"/>
          <w:lang w:val="en-GB"/>
        </w:rPr>
        <w:t>In addition to corporate efforts to limit emissions, increased resource-efficiency is central to reaching both climate targets and sustainability targets in general. However, a recent legal case</w:t>
      </w:r>
      <w:r>
        <w:rPr>
          <w:rStyle w:val="Fotnotsreferens"/>
          <w:rFonts w:ascii="Gellix" w:hAnsi="Gellix"/>
          <w:color w:val="000000" w:themeColor="text1"/>
          <w:sz w:val="22"/>
          <w:szCs w:val="22"/>
          <w:lang w:val="en-GB"/>
        </w:rPr>
        <w:footnoteReference w:id="6"/>
      </w:r>
      <w:r>
        <w:rPr>
          <w:rFonts w:ascii="Gellix" w:hAnsi="Gellix"/>
          <w:color w:val="000000" w:themeColor="text1"/>
          <w:sz w:val="22"/>
          <w:szCs w:val="22"/>
          <w:lang w:val="en-GB"/>
        </w:rPr>
        <w:t xml:space="preserve"> held that a Swedish construction company would not be granted a disposal deduction after reconstructing an office building. The company had decided to demolish a premise and rebuild it, as the current building was no longer deemed usable. In the process, the company decided to keep the load-bearing structural parts to make the reconstruction more resource-efficient in terms of both construction materials and financial resources. The company considered itself entitled to a scrapping deduction, alternative</w:t>
      </w:r>
      <w:r w:rsidR="00EC21EE">
        <w:rPr>
          <w:rFonts w:ascii="Gellix" w:hAnsi="Gellix"/>
          <w:color w:val="000000" w:themeColor="text1"/>
          <w:sz w:val="22"/>
          <w:szCs w:val="22"/>
          <w:lang w:val="en-GB"/>
        </w:rPr>
        <w:t>ly</w:t>
      </w:r>
      <w:r>
        <w:rPr>
          <w:rFonts w:ascii="Gellix" w:hAnsi="Gellix"/>
          <w:color w:val="000000" w:themeColor="text1"/>
          <w:sz w:val="22"/>
          <w:szCs w:val="22"/>
          <w:lang w:val="en-GB"/>
        </w:rPr>
        <w:t xml:space="preserve"> a depreciation deduction, as the law claims that a “grant for the decommissioning of a building presupposes […] that the whole, or almost the whole, </w:t>
      </w:r>
      <w:r>
        <w:rPr>
          <w:rFonts w:ascii="Gellix" w:hAnsi="Gellix"/>
          <w:color w:val="000000" w:themeColor="text1"/>
          <w:sz w:val="22"/>
          <w:szCs w:val="22"/>
          <w:lang w:val="en-GB"/>
        </w:rPr>
        <w:lastRenderedPageBreak/>
        <w:t>building is demolished.”</w:t>
      </w:r>
      <w:r>
        <w:rPr>
          <w:rStyle w:val="Fotnotsreferens"/>
          <w:rFonts w:ascii="Gellix" w:hAnsi="Gellix"/>
          <w:color w:val="000000" w:themeColor="text1"/>
          <w:sz w:val="22"/>
          <w:szCs w:val="22"/>
          <w:lang w:val="en-GB"/>
        </w:rPr>
        <w:footnoteReference w:id="7"/>
      </w:r>
      <w:r>
        <w:rPr>
          <w:rFonts w:ascii="Gellix" w:hAnsi="Gellix"/>
          <w:color w:val="000000" w:themeColor="text1"/>
          <w:sz w:val="22"/>
          <w:szCs w:val="22"/>
          <w:lang w:val="en-GB"/>
        </w:rPr>
        <w:t xml:space="preserve"> The Supreme Administrative Court denied the claim with the motivation that when parts of the demolished building were used for the newly built on</w:t>
      </w:r>
      <w:r w:rsidR="00EC21EE">
        <w:rPr>
          <w:rFonts w:ascii="Gellix" w:hAnsi="Gellix"/>
          <w:color w:val="000000" w:themeColor="text1"/>
          <w:sz w:val="22"/>
          <w:szCs w:val="22"/>
          <w:lang w:val="en-GB"/>
        </w:rPr>
        <w:t>e</w:t>
      </w:r>
      <w:r>
        <w:rPr>
          <w:rFonts w:ascii="Gellix" w:hAnsi="Gellix"/>
          <w:color w:val="000000" w:themeColor="text1"/>
          <w:sz w:val="22"/>
          <w:szCs w:val="22"/>
          <w:lang w:val="en-GB"/>
        </w:rPr>
        <w:t xml:space="preserve">, the company in question was not entitled to any deduction due to the building not being scrapped in its entirety. </w:t>
      </w:r>
    </w:p>
    <w:p w14:paraId="24F58136" w14:textId="360EB2CF" w:rsidR="002F18B7" w:rsidRDefault="002F18B7" w:rsidP="00482D35">
      <w:pPr>
        <w:spacing w:line="276" w:lineRule="auto"/>
        <w:rPr>
          <w:rFonts w:ascii="Gellix" w:hAnsi="Gellix"/>
          <w:color w:val="000000" w:themeColor="text1"/>
          <w:sz w:val="22"/>
          <w:szCs w:val="22"/>
          <w:lang w:val="en-GB"/>
        </w:rPr>
      </w:pPr>
    </w:p>
    <w:p w14:paraId="6CEE7C8F" w14:textId="07C80C81" w:rsidR="002F18B7" w:rsidRDefault="002F18B7" w:rsidP="00482D35">
      <w:pPr>
        <w:spacing w:line="276" w:lineRule="auto"/>
        <w:rPr>
          <w:rFonts w:ascii="Gellix" w:hAnsi="Gellix"/>
          <w:color w:val="000000" w:themeColor="text1"/>
          <w:sz w:val="22"/>
          <w:szCs w:val="22"/>
          <w:lang w:val="en-GB"/>
        </w:rPr>
      </w:pPr>
      <w:r>
        <w:rPr>
          <w:rFonts w:ascii="Gellix" w:hAnsi="Gellix"/>
          <w:color w:val="000000" w:themeColor="text1"/>
          <w:sz w:val="22"/>
          <w:szCs w:val="22"/>
          <w:lang w:val="en-GB"/>
        </w:rPr>
        <w:t>The case illustrates that the legislation disincentives resource-efficient circular approaches and instead encourages resource inefficiency. Construction companies who choose a more resource-efficient alternative when conducting their businesses should not be punished but on the contrary encourage</w:t>
      </w:r>
      <w:r w:rsidR="00EC21EE">
        <w:rPr>
          <w:rFonts w:ascii="Gellix" w:hAnsi="Gellix"/>
          <w:color w:val="000000" w:themeColor="text1"/>
          <w:sz w:val="22"/>
          <w:szCs w:val="22"/>
          <w:lang w:val="en-GB"/>
        </w:rPr>
        <w:t>d</w:t>
      </w:r>
      <w:r>
        <w:rPr>
          <w:rFonts w:ascii="Gellix" w:hAnsi="Gellix"/>
          <w:color w:val="000000" w:themeColor="text1"/>
          <w:sz w:val="22"/>
          <w:szCs w:val="22"/>
          <w:lang w:val="en-GB"/>
        </w:rPr>
        <w:t>.</w:t>
      </w:r>
    </w:p>
    <w:p w14:paraId="4AB3A7BD" w14:textId="6936E176" w:rsidR="00D560E5" w:rsidRDefault="00D560E5" w:rsidP="00482D35">
      <w:pPr>
        <w:spacing w:line="276" w:lineRule="auto"/>
        <w:rPr>
          <w:rFonts w:ascii="Gellix" w:hAnsi="Gellix"/>
          <w:color w:val="000000" w:themeColor="text1"/>
          <w:sz w:val="22"/>
          <w:szCs w:val="22"/>
          <w:lang w:val="en-GB"/>
        </w:rPr>
      </w:pPr>
    </w:p>
    <w:p w14:paraId="797469F8" w14:textId="77777777" w:rsidR="00D560E5" w:rsidRDefault="00D560E5" w:rsidP="00482D35">
      <w:pPr>
        <w:spacing w:line="276" w:lineRule="auto"/>
        <w:rPr>
          <w:rFonts w:ascii="Gellix" w:hAnsi="Gellix"/>
          <w:color w:val="000000" w:themeColor="text1"/>
          <w:sz w:val="22"/>
          <w:szCs w:val="22"/>
          <w:lang w:val="en-GB"/>
        </w:rPr>
      </w:pPr>
    </w:p>
    <w:p w14:paraId="37DA7A93" w14:textId="597FA861" w:rsidR="002F18B7" w:rsidRDefault="002F18B7" w:rsidP="00482D35">
      <w:pPr>
        <w:spacing w:line="276" w:lineRule="auto"/>
        <w:rPr>
          <w:rFonts w:ascii="Gellix" w:hAnsi="Gellix"/>
          <w:color w:val="007DFF"/>
          <w:sz w:val="22"/>
          <w:szCs w:val="22"/>
          <w:lang w:val="en-GB"/>
        </w:rPr>
      </w:pPr>
      <w:r>
        <w:rPr>
          <w:rFonts w:ascii="Gellix" w:hAnsi="Gellix"/>
          <w:color w:val="007DFF"/>
          <w:sz w:val="22"/>
          <w:szCs w:val="22"/>
          <w:lang w:val="en-GB"/>
        </w:rPr>
        <w:t>[</w:t>
      </w:r>
      <w:r w:rsidRPr="002F18B7">
        <w:rPr>
          <w:rFonts w:ascii="Gellix" w:hAnsi="Gellix"/>
          <w:i/>
          <w:iCs/>
          <w:color w:val="007DFF"/>
          <w:sz w:val="22"/>
          <w:szCs w:val="22"/>
          <w:lang w:val="en-GB"/>
        </w:rPr>
        <w:t>Additional case studies</w:t>
      </w:r>
      <w:r>
        <w:rPr>
          <w:rFonts w:ascii="Gellix" w:hAnsi="Gellix"/>
          <w:color w:val="007DFF"/>
          <w:sz w:val="22"/>
          <w:szCs w:val="22"/>
          <w:lang w:val="en-GB"/>
        </w:rPr>
        <w:t>]</w:t>
      </w:r>
    </w:p>
    <w:p w14:paraId="70C4809B" w14:textId="77777777" w:rsidR="002F18B7" w:rsidRDefault="002F18B7" w:rsidP="00482D35">
      <w:pPr>
        <w:spacing w:line="276" w:lineRule="auto"/>
        <w:rPr>
          <w:rFonts w:ascii="Gellix" w:hAnsi="Gellix"/>
          <w:color w:val="007DFF"/>
          <w:sz w:val="22"/>
          <w:szCs w:val="22"/>
          <w:lang w:val="en-GB"/>
        </w:rPr>
      </w:pPr>
    </w:p>
    <w:p w14:paraId="712C3EB8" w14:textId="1B12B5F0" w:rsidR="002F18B7" w:rsidRDefault="002F18B7" w:rsidP="00482D35">
      <w:pPr>
        <w:spacing w:line="276" w:lineRule="auto"/>
        <w:rPr>
          <w:rFonts w:ascii="Gellix" w:hAnsi="Gellix"/>
          <w:color w:val="007DFF"/>
          <w:sz w:val="22"/>
          <w:szCs w:val="22"/>
          <w:lang w:val="en-GB"/>
        </w:rPr>
      </w:pPr>
      <w:r>
        <w:rPr>
          <w:rFonts w:ascii="Gellix" w:hAnsi="Gellix"/>
          <w:color w:val="007DFF"/>
          <w:sz w:val="22"/>
          <w:szCs w:val="22"/>
          <w:lang w:val="en-GB"/>
        </w:rPr>
        <w:t>Conclusion</w:t>
      </w:r>
    </w:p>
    <w:p w14:paraId="600ADC0A" w14:textId="7A1D057E" w:rsidR="006915EE" w:rsidRPr="002F18B7" w:rsidRDefault="002F18B7" w:rsidP="00482D35">
      <w:pPr>
        <w:spacing w:line="276" w:lineRule="auto"/>
        <w:rPr>
          <w:rFonts w:ascii="Gellix" w:hAnsi="Gellix"/>
          <w:color w:val="000000" w:themeColor="text1"/>
          <w:sz w:val="22"/>
          <w:szCs w:val="22"/>
          <w:lang w:val="en-GB"/>
        </w:rPr>
      </w:pPr>
      <w:r>
        <w:rPr>
          <w:rFonts w:ascii="Gellix" w:hAnsi="Gellix"/>
          <w:color w:val="000000" w:themeColor="text1"/>
          <w:sz w:val="22"/>
          <w:szCs w:val="22"/>
          <w:lang w:val="en-GB"/>
        </w:rPr>
        <w:t>In light of the above case studies, there is room for improvement of Swedish tax legislation in order to not disincentives corporate sustainability ambitions</w:t>
      </w:r>
      <w:r w:rsidR="00A41F28">
        <w:rPr>
          <w:rFonts w:ascii="Gellix" w:hAnsi="Gellix"/>
          <w:color w:val="000000" w:themeColor="text1"/>
          <w:sz w:val="22"/>
          <w:szCs w:val="22"/>
          <w:lang w:val="en-GB"/>
        </w:rPr>
        <w:t xml:space="preserve"> but rather provide incentives</w:t>
      </w:r>
      <w:r>
        <w:rPr>
          <w:rFonts w:ascii="Gellix" w:hAnsi="Gellix"/>
          <w:color w:val="000000" w:themeColor="text1"/>
          <w:sz w:val="22"/>
          <w:szCs w:val="22"/>
          <w:lang w:val="en-GB"/>
        </w:rPr>
        <w:t>. As other policy areas adapt to facilitate the green transition and sustainable development, tax policy is lagging and seen as inconsequential. While this paper has focused on the Swedish example, th</w:t>
      </w:r>
      <w:r w:rsidR="00A41F28">
        <w:rPr>
          <w:rFonts w:ascii="Gellix" w:hAnsi="Gellix"/>
          <w:color w:val="000000" w:themeColor="text1"/>
          <w:sz w:val="22"/>
          <w:szCs w:val="22"/>
          <w:lang w:val="en-GB"/>
        </w:rPr>
        <w:t>e discussion about how tax policy can incentivise sustainable development</w:t>
      </w:r>
      <w:r>
        <w:rPr>
          <w:rFonts w:ascii="Gellix" w:hAnsi="Gellix"/>
          <w:color w:val="000000" w:themeColor="text1"/>
          <w:sz w:val="22"/>
          <w:szCs w:val="22"/>
          <w:lang w:val="en-GB"/>
        </w:rPr>
        <w:t xml:space="preserve"> is a discussion to be had globally as governments and the private sector alike ramp up their efforts to reach the goals of the Paris Agreement and the UN Agenda 2030. </w:t>
      </w:r>
      <w:r w:rsidR="006821E5" w:rsidRPr="006821E5">
        <w:rPr>
          <w:rFonts w:ascii="Gellix" w:hAnsi="Gellix"/>
          <w:color w:val="000000" w:themeColor="text1"/>
          <w:sz w:val="22"/>
          <w:szCs w:val="22"/>
          <w:lang w:val="en-GB"/>
        </w:rPr>
        <w:t>Investments in climate measures and sustainability</w:t>
      </w:r>
      <w:r w:rsidR="006821E5">
        <w:rPr>
          <w:rFonts w:ascii="Gellix" w:hAnsi="Gellix"/>
          <w:color w:val="000000" w:themeColor="text1"/>
          <w:sz w:val="22"/>
          <w:szCs w:val="22"/>
          <w:lang w:val="en-GB"/>
        </w:rPr>
        <w:t xml:space="preserve"> goals</w:t>
      </w:r>
      <w:r w:rsidR="006821E5" w:rsidRPr="006821E5">
        <w:rPr>
          <w:rFonts w:ascii="Gellix" w:hAnsi="Gellix"/>
          <w:color w:val="000000" w:themeColor="text1"/>
          <w:sz w:val="22"/>
          <w:szCs w:val="22"/>
          <w:lang w:val="en-GB"/>
        </w:rPr>
        <w:t xml:space="preserve"> should at least be considered as normal deductible business expenses</w:t>
      </w:r>
      <w:r w:rsidR="00827B2B">
        <w:rPr>
          <w:rFonts w:ascii="Gellix" w:hAnsi="Gellix"/>
          <w:color w:val="000000" w:themeColor="text1"/>
          <w:sz w:val="22"/>
          <w:szCs w:val="22"/>
          <w:lang w:val="en-GB"/>
        </w:rPr>
        <w:t xml:space="preserve">, </w:t>
      </w:r>
      <w:r w:rsidR="00C14534">
        <w:rPr>
          <w:rFonts w:ascii="Gellix" w:hAnsi="Gellix"/>
          <w:color w:val="000000" w:themeColor="text1"/>
          <w:sz w:val="22"/>
          <w:szCs w:val="22"/>
          <w:lang w:val="en-GB"/>
        </w:rPr>
        <w:t xml:space="preserve">not least </w:t>
      </w:r>
      <w:r w:rsidR="006915EE">
        <w:rPr>
          <w:rFonts w:ascii="Gellix" w:hAnsi="Gellix"/>
          <w:color w:val="000000" w:themeColor="text1"/>
          <w:sz w:val="22"/>
          <w:szCs w:val="22"/>
          <w:lang w:val="en-GB"/>
        </w:rPr>
        <w:t xml:space="preserve">because </w:t>
      </w:r>
      <w:r w:rsidR="00827B2B">
        <w:rPr>
          <w:rFonts w:ascii="Gellix" w:hAnsi="Gellix"/>
          <w:color w:val="000000" w:themeColor="text1"/>
          <w:sz w:val="22"/>
          <w:szCs w:val="22"/>
          <w:lang w:val="en-GB"/>
        </w:rPr>
        <w:t xml:space="preserve">such </w:t>
      </w:r>
      <w:r w:rsidR="006915EE">
        <w:rPr>
          <w:rFonts w:ascii="Gellix" w:hAnsi="Gellix"/>
          <w:color w:val="000000" w:themeColor="text1"/>
          <w:sz w:val="22"/>
          <w:szCs w:val="22"/>
          <w:lang w:val="en-GB"/>
        </w:rPr>
        <w:t xml:space="preserve">expenses </w:t>
      </w:r>
      <w:r w:rsidR="00827B2B">
        <w:rPr>
          <w:rFonts w:ascii="Gellix" w:hAnsi="Gellix"/>
          <w:color w:val="000000" w:themeColor="text1"/>
          <w:sz w:val="22"/>
          <w:szCs w:val="22"/>
          <w:lang w:val="en-GB"/>
        </w:rPr>
        <w:t xml:space="preserve">are </w:t>
      </w:r>
      <w:r w:rsidR="006915EE">
        <w:rPr>
          <w:rFonts w:ascii="Gellix" w:hAnsi="Gellix"/>
          <w:color w:val="000000" w:themeColor="text1"/>
          <w:sz w:val="22"/>
          <w:szCs w:val="22"/>
          <w:lang w:val="en-GB"/>
        </w:rPr>
        <w:t>often</w:t>
      </w:r>
      <w:r w:rsidR="006915EE" w:rsidRPr="006915EE">
        <w:rPr>
          <w:rFonts w:ascii="Gellix" w:hAnsi="Gellix"/>
          <w:color w:val="000000" w:themeColor="text1"/>
          <w:sz w:val="22"/>
          <w:szCs w:val="22"/>
          <w:lang w:val="en-GB"/>
        </w:rPr>
        <w:t xml:space="preserve"> business-critical in today's society.</w:t>
      </w:r>
    </w:p>
    <w:sectPr w:rsidR="006915EE" w:rsidRPr="002F18B7">
      <w:headerReference w:type="even" r:id="rId11"/>
      <w:headerReference w:type="default" r:id="rId12"/>
      <w:footerReference w:type="even"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D7FB" w14:textId="77777777" w:rsidR="00116AA6" w:rsidRDefault="00116AA6" w:rsidP="007F334D">
      <w:r>
        <w:separator/>
      </w:r>
    </w:p>
  </w:endnote>
  <w:endnote w:type="continuationSeparator" w:id="0">
    <w:p w14:paraId="0D40BCBD" w14:textId="77777777" w:rsidR="00116AA6" w:rsidRDefault="00116AA6" w:rsidP="007F334D">
      <w:r>
        <w:continuationSeparator/>
      </w:r>
    </w:p>
  </w:endnote>
  <w:endnote w:type="continuationNotice" w:id="1">
    <w:p w14:paraId="0765AFEA" w14:textId="77777777" w:rsidR="00116AA6" w:rsidRDefault="00116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llix">
    <w:altName w:val="Gellix"/>
    <w:panose1 w:val="020B0604020202020204"/>
    <w:charset w:val="4D"/>
    <w:family w:val="auto"/>
    <w:notTrueType/>
    <w:pitch w:val="variable"/>
    <w:sig w:usb0="A10000EF" w:usb1="0000207A" w:usb2="00000000" w:usb3="00000000" w:csb0="00000093" w:csb1="00000000"/>
  </w:font>
  <w:font w:name="Gotham Light">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423145216"/>
      <w:docPartObj>
        <w:docPartGallery w:val="Page Numbers (Bottom of Page)"/>
        <w:docPartUnique/>
      </w:docPartObj>
    </w:sdtPr>
    <w:sdtEndPr>
      <w:rPr>
        <w:rStyle w:val="Sidnummer"/>
      </w:rPr>
    </w:sdtEndPr>
    <w:sdtContent>
      <w:p w14:paraId="299BA8BF" w14:textId="4BAEADAB" w:rsidR="004279A9" w:rsidRDefault="004279A9" w:rsidP="00492BFC">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314345D2" w14:textId="77777777" w:rsidR="006D3182" w:rsidRDefault="006D3182" w:rsidP="004279A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Fonts w:ascii="Gotham Light" w:hAnsi="Gotham Light"/>
        <w:sz w:val="18"/>
        <w:szCs w:val="18"/>
      </w:rPr>
      <w:id w:val="-1595241355"/>
      <w:docPartObj>
        <w:docPartGallery w:val="Page Numbers (Bottom of Page)"/>
        <w:docPartUnique/>
      </w:docPartObj>
    </w:sdtPr>
    <w:sdtEndPr>
      <w:rPr>
        <w:rStyle w:val="Sidnummer"/>
        <w:sz w:val="10"/>
        <w:szCs w:val="10"/>
      </w:rPr>
    </w:sdtEndPr>
    <w:sdtContent>
      <w:p w14:paraId="074953CA" w14:textId="611643F7" w:rsidR="004279A9" w:rsidRPr="009A03C2" w:rsidRDefault="004279A9" w:rsidP="007404F3">
        <w:pPr>
          <w:pStyle w:val="Sidfot"/>
          <w:framePr w:wrap="none" w:vAnchor="text" w:hAnchor="page" w:x="9212" w:yAlign="center"/>
          <w:rPr>
            <w:rStyle w:val="Sidnummer"/>
            <w:rFonts w:ascii="Gotham Light" w:hAnsi="Gotham Light"/>
            <w:sz w:val="18"/>
            <w:szCs w:val="18"/>
            <w:lang w:val="en-US"/>
          </w:rPr>
        </w:pPr>
        <w:r w:rsidRPr="007404F3">
          <w:rPr>
            <w:rStyle w:val="Sidnummer"/>
            <w:rFonts w:ascii="Gotham Light" w:hAnsi="Gotham Light"/>
            <w:sz w:val="18"/>
            <w:szCs w:val="18"/>
          </w:rPr>
          <w:fldChar w:fldCharType="begin"/>
        </w:r>
        <w:r w:rsidRPr="009A03C2">
          <w:rPr>
            <w:rStyle w:val="Sidnummer"/>
            <w:rFonts w:ascii="Gotham Light" w:hAnsi="Gotham Light"/>
            <w:sz w:val="18"/>
            <w:szCs w:val="18"/>
            <w:lang w:val="en-US"/>
          </w:rPr>
          <w:instrText xml:space="preserve"> PAGE </w:instrText>
        </w:r>
        <w:r w:rsidRPr="007404F3">
          <w:rPr>
            <w:rStyle w:val="Sidnummer"/>
            <w:rFonts w:ascii="Gotham Light" w:hAnsi="Gotham Light"/>
            <w:sz w:val="18"/>
            <w:szCs w:val="18"/>
          </w:rPr>
          <w:fldChar w:fldCharType="separate"/>
        </w:r>
        <w:r w:rsidRPr="009A03C2">
          <w:rPr>
            <w:rStyle w:val="Sidnummer"/>
            <w:rFonts w:ascii="Gotham Light" w:hAnsi="Gotham Light"/>
            <w:noProof/>
            <w:sz w:val="18"/>
            <w:szCs w:val="18"/>
            <w:lang w:val="en-US"/>
          </w:rPr>
          <w:t>1</w:t>
        </w:r>
        <w:r w:rsidRPr="007404F3">
          <w:rPr>
            <w:rStyle w:val="Sidnummer"/>
            <w:rFonts w:ascii="Gotham Light" w:hAnsi="Gotham Light"/>
            <w:sz w:val="18"/>
            <w:szCs w:val="18"/>
          </w:rPr>
          <w:fldChar w:fldCharType="end"/>
        </w:r>
      </w:p>
    </w:sdtContent>
  </w:sdt>
  <w:p w14:paraId="30E65949" w14:textId="4EDD8DFE" w:rsidR="006D3182" w:rsidRPr="009A03C2" w:rsidRDefault="002C1FFF" w:rsidP="004279A9">
    <w:pPr>
      <w:pStyle w:val="Sidfot"/>
      <w:ind w:right="360"/>
      <w:jc w:val="center"/>
      <w:rPr>
        <w:rFonts w:ascii="Gellix" w:hAnsi="Gellix"/>
        <w:sz w:val="18"/>
        <w:szCs w:val="18"/>
        <w:lang w:val="en-US"/>
      </w:rPr>
    </w:pPr>
    <w:r w:rsidRPr="009A03C2">
      <w:rPr>
        <w:rFonts w:ascii="Gellix" w:hAnsi="Gellix"/>
        <w:sz w:val="18"/>
        <w:szCs w:val="18"/>
        <w:lang w:val="en-US"/>
      </w:rPr>
      <w:t>2022 | ICC Sweden Tax Committee</w:t>
    </w:r>
    <w:r w:rsidR="006D3182" w:rsidRPr="009A03C2">
      <w:rPr>
        <w:rFonts w:ascii="Gellix" w:hAnsi="Gellix"/>
        <w:sz w:val="18"/>
        <w:szCs w:val="18"/>
        <w:lang w:val="en-US"/>
      </w:rPr>
      <w:t xml:space="preserve"> -</w:t>
    </w:r>
    <w:r w:rsidRPr="009A03C2">
      <w:rPr>
        <w:rFonts w:ascii="Gellix" w:hAnsi="Gellix"/>
        <w:sz w:val="18"/>
        <w:szCs w:val="18"/>
        <w:lang w:val="en-US"/>
      </w:rPr>
      <w:t xml:space="preserve"> Swedish Tax Policy and Sustainability </w:t>
    </w:r>
    <w:r w:rsidR="006D3182" w:rsidRPr="009A03C2">
      <w:rPr>
        <w:rFonts w:ascii="Gellix" w:hAnsi="Gellix"/>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0E1C" w14:textId="77777777" w:rsidR="00116AA6" w:rsidRDefault="00116AA6" w:rsidP="007F334D">
      <w:r>
        <w:separator/>
      </w:r>
    </w:p>
  </w:footnote>
  <w:footnote w:type="continuationSeparator" w:id="0">
    <w:p w14:paraId="278FDBDD" w14:textId="77777777" w:rsidR="00116AA6" w:rsidRDefault="00116AA6" w:rsidP="007F334D">
      <w:r>
        <w:continuationSeparator/>
      </w:r>
    </w:p>
  </w:footnote>
  <w:footnote w:type="continuationNotice" w:id="1">
    <w:p w14:paraId="725FC009" w14:textId="77777777" w:rsidR="00116AA6" w:rsidRDefault="00116AA6"/>
  </w:footnote>
  <w:footnote w:id="2">
    <w:p w14:paraId="653D5433" w14:textId="2F376EC4" w:rsidR="004D6951" w:rsidRPr="004D6951" w:rsidRDefault="004D6951" w:rsidP="004D6951">
      <w:pPr>
        <w:pStyle w:val="Fotnotstext"/>
        <w:rPr>
          <w:lang w:val="en-US"/>
        </w:rPr>
      </w:pPr>
      <w:r>
        <w:rPr>
          <w:rStyle w:val="Fotnotsreferens"/>
        </w:rPr>
        <w:footnoteRef/>
      </w:r>
      <w:r w:rsidRPr="004D6951">
        <w:rPr>
          <w:lang w:val="en-US"/>
        </w:rPr>
        <w:t xml:space="preserve"> IPCC Sixth Assessment Report</w:t>
      </w:r>
      <w:r>
        <w:rPr>
          <w:lang w:val="en-US"/>
        </w:rPr>
        <w:t xml:space="preserve"> – Working Group III Report on</w:t>
      </w:r>
      <w:r w:rsidRPr="004D6951">
        <w:rPr>
          <w:lang w:val="en-US"/>
        </w:rPr>
        <w:t xml:space="preserve"> Mitigation of Climate Change</w:t>
      </w:r>
      <w:r>
        <w:rPr>
          <w:lang w:val="en-US"/>
        </w:rPr>
        <w:t xml:space="preserve"> (AR6 WGIII), </w:t>
      </w:r>
      <w:hyperlink r:id="rId1" w:history="1">
        <w:r w:rsidRPr="003E72E3">
          <w:rPr>
            <w:rStyle w:val="Hyperlnk"/>
            <w:lang w:val="en-US"/>
          </w:rPr>
          <w:t>https://www.ipcc.ch/report/ar6/wg3/</w:t>
        </w:r>
      </w:hyperlink>
      <w:r>
        <w:rPr>
          <w:lang w:val="en-US"/>
        </w:rPr>
        <w:t xml:space="preserve"> </w:t>
      </w:r>
    </w:p>
  </w:footnote>
  <w:footnote w:id="3">
    <w:p w14:paraId="04DAEA30" w14:textId="51930898" w:rsidR="00F03460" w:rsidRPr="00736227" w:rsidRDefault="00F03460">
      <w:pPr>
        <w:pStyle w:val="Fotnotstext"/>
        <w:rPr>
          <w:lang w:val="en-GB"/>
        </w:rPr>
      </w:pPr>
      <w:r>
        <w:rPr>
          <w:rStyle w:val="Fotnotsreferens"/>
        </w:rPr>
        <w:footnoteRef/>
      </w:r>
      <w:r w:rsidRPr="006915EE">
        <w:rPr>
          <w:lang w:val="en-GB"/>
        </w:rPr>
        <w:t xml:space="preserve"> </w:t>
      </w:r>
      <w:r w:rsidRPr="002F18B7">
        <w:rPr>
          <w:lang w:val="en-US"/>
        </w:rPr>
        <w:t xml:space="preserve">Ch. 9 </w:t>
      </w:r>
      <w:r>
        <w:rPr>
          <w:lang w:val="en-US"/>
        </w:rPr>
        <w:t>S</w:t>
      </w:r>
      <w:r w:rsidRPr="002F18B7">
        <w:rPr>
          <w:lang w:val="en-US"/>
        </w:rPr>
        <w:t>ection 2</w:t>
      </w:r>
      <w:r>
        <w:rPr>
          <w:lang w:val="en-US"/>
        </w:rPr>
        <w:t>,</w:t>
      </w:r>
      <w:r w:rsidRPr="002F18B7">
        <w:rPr>
          <w:lang w:val="en-US"/>
        </w:rPr>
        <w:t xml:space="preserve"> second paragraph</w:t>
      </w:r>
      <w:r>
        <w:rPr>
          <w:lang w:val="en-US"/>
        </w:rPr>
        <w:t xml:space="preserve"> of the Swedish Income Tax Act (1999:1229)</w:t>
      </w:r>
    </w:p>
  </w:footnote>
  <w:footnote w:id="4">
    <w:p w14:paraId="3B923097" w14:textId="5109495F" w:rsidR="002F18B7" w:rsidRPr="002F18B7" w:rsidRDefault="002F18B7">
      <w:pPr>
        <w:pStyle w:val="Fotnotstext"/>
        <w:rPr>
          <w:lang w:val="en-US"/>
        </w:rPr>
      </w:pPr>
      <w:r>
        <w:rPr>
          <w:rStyle w:val="Fotnotsreferens"/>
        </w:rPr>
        <w:footnoteRef/>
      </w:r>
      <w:r w:rsidRPr="002F18B7">
        <w:rPr>
          <w:lang w:val="en-US"/>
        </w:rPr>
        <w:t xml:space="preserve"> Ch. 9 </w:t>
      </w:r>
      <w:r>
        <w:rPr>
          <w:lang w:val="en-US"/>
        </w:rPr>
        <w:t>S</w:t>
      </w:r>
      <w:r w:rsidRPr="002F18B7">
        <w:rPr>
          <w:lang w:val="en-US"/>
        </w:rPr>
        <w:t>ection 2</w:t>
      </w:r>
      <w:r>
        <w:rPr>
          <w:lang w:val="en-US"/>
        </w:rPr>
        <w:t>,</w:t>
      </w:r>
      <w:r w:rsidRPr="002F18B7">
        <w:rPr>
          <w:lang w:val="en-US"/>
        </w:rPr>
        <w:t xml:space="preserve"> second paragraph</w:t>
      </w:r>
      <w:r>
        <w:rPr>
          <w:lang w:val="en-US"/>
        </w:rPr>
        <w:t>,</w:t>
      </w:r>
      <w:r w:rsidRPr="002F18B7">
        <w:rPr>
          <w:lang w:val="en-US"/>
        </w:rPr>
        <w:t xml:space="preserve"> and Ch. 16 Section 1</w:t>
      </w:r>
      <w:r>
        <w:rPr>
          <w:lang w:val="en-US"/>
        </w:rPr>
        <w:t>, first paragraph of the Swedish Income Tax Act (1999:1229)</w:t>
      </w:r>
    </w:p>
  </w:footnote>
  <w:footnote w:id="5">
    <w:p w14:paraId="5EB83413" w14:textId="77777777" w:rsidR="00C2623E" w:rsidRPr="009D3C7F" w:rsidRDefault="00C2623E" w:rsidP="00C2623E">
      <w:pPr>
        <w:pStyle w:val="Fotnotstext"/>
      </w:pPr>
      <w:r>
        <w:rPr>
          <w:rStyle w:val="Fotnotsreferens"/>
        </w:rPr>
        <w:footnoteRef/>
      </w:r>
      <w:r w:rsidRPr="009D3C7F">
        <w:t xml:space="preserve"> HFD 201</w:t>
      </w:r>
      <w:r>
        <w:t xml:space="preserve"> ref</w:t>
      </w:r>
      <w:r w:rsidRPr="009D3C7F">
        <w:t>62 (Saltå Kvarn)</w:t>
      </w:r>
      <w:r>
        <w:t xml:space="preserve"> and HFD 2018 ref55 (Arla)</w:t>
      </w:r>
      <w:r w:rsidRPr="009D3C7F">
        <w:t>.</w:t>
      </w:r>
    </w:p>
  </w:footnote>
  <w:footnote w:id="6">
    <w:p w14:paraId="2F78780C" w14:textId="4D935BCD" w:rsidR="002F18B7" w:rsidRPr="006915EE" w:rsidRDefault="002F18B7">
      <w:pPr>
        <w:pStyle w:val="Fotnotstext"/>
      </w:pPr>
      <w:r>
        <w:rPr>
          <w:rStyle w:val="Fotnotsreferens"/>
        </w:rPr>
        <w:footnoteRef/>
      </w:r>
      <w:r w:rsidRPr="006915EE">
        <w:t xml:space="preserve"> H</w:t>
      </w:r>
      <w:r w:rsidR="005A1DFB" w:rsidRPr="006915EE">
        <w:t>FD</w:t>
      </w:r>
      <w:r w:rsidRPr="006915EE">
        <w:t xml:space="preserve"> 2021</w:t>
      </w:r>
      <w:r w:rsidR="00D943BF" w:rsidRPr="006915EE">
        <w:t xml:space="preserve"> ref</w:t>
      </w:r>
      <w:r w:rsidRPr="006915EE">
        <w:t>1</w:t>
      </w:r>
      <w:r w:rsidR="00AD270B" w:rsidRPr="006915EE">
        <w:t>4 (</w:t>
      </w:r>
      <w:r w:rsidR="003217C9" w:rsidRPr="006915EE">
        <w:t>Skandia Fyrkanten).</w:t>
      </w:r>
    </w:p>
  </w:footnote>
  <w:footnote w:id="7">
    <w:p w14:paraId="064B41A2" w14:textId="6021A9CE" w:rsidR="002F18B7" w:rsidRPr="002F18B7" w:rsidRDefault="002F18B7">
      <w:pPr>
        <w:pStyle w:val="Fotnotstext"/>
        <w:rPr>
          <w:lang w:val="en-US"/>
        </w:rPr>
      </w:pPr>
      <w:r>
        <w:rPr>
          <w:rStyle w:val="Fotnotsreferens"/>
        </w:rPr>
        <w:footnoteRef/>
      </w:r>
      <w:r w:rsidRPr="002F18B7">
        <w:rPr>
          <w:lang w:val="en-US"/>
        </w:rPr>
        <w:t xml:space="preserve"> Ch. 19 Section 7 of the Swedish Income Tax Act (1999:1229).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949580708"/>
      <w:docPartObj>
        <w:docPartGallery w:val="Page Numbers (Top of Page)"/>
        <w:docPartUnique/>
      </w:docPartObj>
    </w:sdtPr>
    <w:sdtEndPr>
      <w:rPr>
        <w:rStyle w:val="Sidnummer"/>
      </w:rPr>
    </w:sdtEndPr>
    <w:sdtContent>
      <w:p w14:paraId="26F08D29" w14:textId="620E7172" w:rsidR="005767B3" w:rsidRDefault="005767B3" w:rsidP="00492BFC">
        <w:pPr>
          <w:pStyle w:val="Sidhuvud"/>
          <w:framePr w:wrap="none" w:vAnchor="text" w:hAnchor="margin"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40A6882F" w14:textId="78645D67" w:rsidR="00252C55" w:rsidRDefault="00B41614" w:rsidP="005767B3">
    <w:pPr>
      <w:pStyle w:val="Sidhuvud"/>
      <w:ind w:firstLine="360"/>
    </w:pPr>
    <w:r>
      <w:rPr>
        <w:noProof/>
      </w:rPr>
    </w:r>
    <w:r w:rsidR="00B41614">
      <w:rPr>
        <w:noProof/>
      </w:rPr>
      <w:pict w14:anchorId="3D603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090117" o:spid="_x0000_s1027" type="#_x0000_t136" alt="" style="position:absolute;left:0;text-align:left;margin-left:0;margin-top:0;width:479.65pt;height:159.85pt;rotation:315;z-index:-251658239;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1700" w14:textId="5592F405" w:rsidR="005767B3" w:rsidRPr="005767B3" w:rsidRDefault="005767B3" w:rsidP="00492BFC">
    <w:pPr>
      <w:pStyle w:val="Sidhuvud"/>
      <w:framePr w:wrap="none" w:vAnchor="text" w:hAnchor="margin" w:y="1"/>
      <w:rPr>
        <w:rStyle w:val="Sidnummer"/>
        <w:rFonts w:ascii="Gotham Light" w:hAnsi="Gotham Light"/>
      </w:rPr>
    </w:pPr>
  </w:p>
  <w:p w14:paraId="35EB3E3F" w14:textId="0F713FC0" w:rsidR="007F334D" w:rsidRDefault="00B41614" w:rsidP="005767B3">
    <w:pPr>
      <w:pStyle w:val="Sidhuvud"/>
      <w:ind w:firstLine="360"/>
      <w:jc w:val="right"/>
    </w:pPr>
    <w:r>
      <w:rPr>
        <w:noProof/>
      </w:rPr>
    </w:r>
    <w:r w:rsidR="00B41614">
      <w:rPr>
        <w:noProof/>
      </w:rPr>
      <w:pict w14:anchorId="57D59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090118" o:spid="_x0000_s1026" type="#_x0000_t136" alt="" style="position:absolute;left:0;text-align:left;margin-left:0;margin-top:0;width:479.65pt;height:159.85pt;rotation:315;z-index:-251658238;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UTKAST"/>
          <w10:wrap anchorx="margin" anchory="margin"/>
        </v:shape>
      </w:pict>
    </w:r>
  </w:p>
  <w:p w14:paraId="4D5079F7" w14:textId="77777777" w:rsidR="007F334D" w:rsidRDefault="007F334D" w:rsidP="007F334D">
    <w:pPr>
      <w:pStyle w:val="Sidhuvud"/>
      <w:jc w:val="right"/>
    </w:pPr>
  </w:p>
  <w:p w14:paraId="1342E9EF" w14:textId="77777777" w:rsidR="007F334D" w:rsidRDefault="007F334D" w:rsidP="007F334D">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35D6" w14:textId="1E6ACCFC" w:rsidR="00252C55" w:rsidRDefault="00B41614">
    <w:pPr>
      <w:pStyle w:val="Sidhuvud"/>
    </w:pPr>
    <w:r>
      <w:rPr>
        <w:noProof/>
      </w:rPr>
    </w:r>
    <w:r w:rsidR="00B41614">
      <w:rPr>
        <w:noProof/>
      </w:rPr>
      <w:pict w14:anchorId="0246A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090116" o:spid="_x0000_s1025" type="#_x0000_t136" alt="" style="position:absolute;margin-left:0;margin-top:0;width:479.65pt;height:159.85pt;rotation:315;z-index:-251658240;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UT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706C"/>
    <w:multiLevelType w:val="multilevel"/>
    <w:tmpl w:val="53F093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458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defaultTabStop w:val="1304"/>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0E"/>
    <w:rsid w:val="0000131D"/>
    <w:rsid w:val="0000165F"/>
    <w:rsid w:val="000038F6"/>
    <w:rsid w:val="00004094"/>
    <w:rsid w:val="00012D03"/>
    <w:rsid w:val="000216E5"/>
    <w:rsid w:val="00023221"/>
    <w:rsid w:val="000258A3"/>
    <w:rsid w:val="000305D7"/>
    <w:rsid w:val="000422C3"/>
    <w:rsid w:val="000444F4"/>
    <w:rsid w:val="00044A83"/>
    <w:rsid w:val="000472A5"/>
    <w:rsid w:val="00051A99"/>
    <w:rsid w:val="00054476"/>
    <w:rsid w:val="00060AFD"/>
    <w:rsid w:val="00063840"/>
    <w:rsid w:val="00065C8E"/>
    <w:rsid w:val="00073E0D"/>
    <w:rsid w:val="00075D9D"/>
    <w:rsid w:val="000761F0"/>
    <w:rsid w:val="00081BA1"/>
    <w:rsid w:val="00084712"/>
    <w:rsid w:val="000860D0"/>
    <w:rsid w:val="00091082"/>
    <w:rsid w:val="00094149"/>
    <w:rsid w:val="000A1330"/>
    <w:rsid w:val="000A2803"/>
    <w:rsid w:val="000A41CE"/>
    <w:rsid w:val="000B07FA"/>
    <w:rsid w:val="000B1890"/>
    <w:rsid w:val="000B361F"/>
    <w:rsid w:val="000B4746"/>
    <w:rsid w:val="000C167A"/>
    <w:rsid w:val="000C2230"/>
    <w:rsid w:val="000C5BF2"/>
    <w:rsid w:val="000C616B"/>
    <w:rsid w:val="000C7A0D"/>
    <w:rsid w:val="000C7DA9"/>
    <w:rsid w:val="000D05AA"/>
    <w:rsid w:val="000D4616"/>
    <w:rsid w:val="000D57AC"/>
    <w:rsid w:val="000E6469"/>
    <w:rsid w:val="000E79F0"/>
    <w:rsid w:val="00101F3F"/>
    <w:rsid w:val="00103F68"/>
    <w:rsid w:val="00104FEF"/>
    <w:rsid w:val="00112BC1"/>
    <w:rsid w:val="0011319D"/>
    <w:rsid w:val="00116A62"/>
    <w:rsid w:val="00116AA6"/>
    <w:rsid w:val="00121137"/>
    <w:rsid w:val="00126037"/>
    <w:rsid w:val="00135F79"/>
    <w:rsid w:val="00142668"/>
    <w:rsid w:val="00144D97"/>
    <w:rsid w:val="001454F2"/>
    <w:rsid w:val="00147236"/>
    <w:rsid w:val="00153561"/>
    <w:rsid w:val="00153A5E"/>
    <w:rsid w:val="0015493F"/>
    <w:rsid w:val="00160FCB"/>
    <w:rsid w:val="00162B4A"/>
    <w:rsid w:val="0016406C"/>
    <w:rsid w:val="00167CE0"/>
    <w:rsid w:val="00186BAD"/>
    <w:rsid w:val="001913DB"/>
    <w:rsid w:val="00192D78"/>
    <w:rsid w:val="00193B99"/>
    <w:rsid w:val="0019423A"/>
    <w:rsid w:val="001A3456"/>
    <w:rsid w:val="001A7477"/>
    <w:rsid w:val="001B22ED"/>
    <w:rsid w:val="001B47ED"/>
    <w:rsid w:val="001B4F39"/>
    <w:rsid w:val="001D1DD9"/>
    <w:rsid w:val="001E1B28"/>
    <w:rsid w:val="001F1AF0"/>
    <w:rsid w:val="001F2269"/>
    <w:rsid w:val="001F2CD5"/>
    <w:rsid w:val="001F6929"/>
    <w:rsid w:val="001F7796"/>
    <w:rsid w:val="002005DB"/>
    <w:rsid w:val="002078B2"/>
    <w:rsid w:val="002170CF"/>
    <w:rsid w:val="00221126"/>
    <w:rsid w:val="0022426B"/>
    <w:rsid w:val="002304A1"/>
    <w:rsid w:val="00234122"/>
    <w:rsid w:val="002372CD"/>
    <w:rsid w:val="00240D30"/>
    <w:rsid w:val="00241896"/>
    <w:rsid w:val="00243C3D"/>
    <w:rsid w:val="00252C55"/>
    <w:rsid w:val="00253B3F"/>
    <w:rsid w:val="00255D90"/>
    <w:rsid w:val="0025651E"/>
    <w:rsid w:val="00256E76"/>
    <w:rsid w:val="00271B18"/>
    <w:rsid w:val="00273318"/>
    <w:rsid w:val="002734BF"/>
    <w:rsid w:val="00274038"/>
    <w:rsid w:val="002740B5"/>
    <w:rsid w:val="0027627C"/>
    <w:rsid w:val="002822AC"/>
    <w:rsid w:val="002847B2"/>
    <w:rsid w:val="00291F79"/>
    <w:rsid w:val="00295D35"/>
    <w:rsid w:val="002A46BC"/>
    <w:rsid w:val="002A673D"/>
    <w:rsid w:val="002A744B"/>
    <w:rsid w:val="002A7D59"/>
    <w:rsid w:val="002B4560"/>
    <w:rsid w:val="002B62E1"/>
    <w:rsid w:val="002C1FFF"/>
    <w:rsid w:val="002C28B4"/>
    <w:rsid w:val="002C3682"/>
    <w:rsid w:val="002D021C"/>
    <w:rsid w:val="002D1D1C"/>
    <w:rsid w:val="002D257C"/>
    <w:rsid w:val="002D37B3"/>
    <w:rsid w:val="002D5257"/>
    <w:rsid w:val="002D52F4"/>
    <w:rsid w:val="002D59E3"/>
    <w:rsid w:val="002E44E2"/>
    <w:rsid w:val="002E7659"/>
    <w:rsid w:val="002F18B7"/>
    <w:rsid w:val="002F18B8"/>
    <w:rsid w:val="003008E9"/>
    <w:rsid w:val="0031148C"/>
    <w:rsid w:val="00314806"/>
    <w:rsid w:val="003217C9"/>
    <w:rsid w:val="00324D4E"/>
    <w:rsid w:val="003276BD"/>
    <w:rsid w:val="0033016C"/>
    <w:rsid w:val="0033259E"/>
    <w:rsid w:val="00332B25"/>
    <w:rsid w:val="00332FB4"/>
    <w:rsid w:val="003469CA"/>
    <w:rsid w:val="003478DF"/>
    <w:rsid w:val="00350FC7"/>
    <w:rsid w:val="00351B39"/>
    <w:rsid w:val="00355539"/>
    <w:rsid w:val="00355A9B"/>
    <w:rsid w:val="00357784"/>
    <w:rsid w:val="003759C1"/>
    <w:rsid w:val="00375A41"/>
    <w:rsid w:val="0038362A"/>
    <w:rsid w:val="003871A0"/>
    <w:rsid w:val="00391770"/>
    <w:rsid w:val="00392994"/>
    <w:rsid w:val="003947A9"/>
    <w:rsid w:val="003A0AAB"/>
    <w:rsid w:val="003A16A5"/>
    <w:rsid w:val="003A6E0F"/>
    <w:rsid w:val="003A6E4A"/>
    <w:rsid w:val="003B219B"/>
    <w:rsid w:val="003B2487"/>
    <w:rsid w:val="003B3765"/>
    <w:rsid w:val="003B5BD6"/>
    <w:rsid w:val="003B5C65"/>
    <w:rsid w:val="003C4327"/>
    <w:rsid w:val="003D05FB"/>
    <w:rsid w:val="003D6A2B"/>
    <w:rsid w:val="003E6663"/>
    <w:rsid w:val="003E7D88"/>
    <w:rsid w:val="003F45EF"/>
    <w:rsid w:val="00401777"/>
    <w:rsid w:val="00407372"/>
    <w:rsid w:val="0041287A"/>
    <w:rsid w:val="004279A9"/>
    <w:rsid w:val="00433460"/>
    <w:rsid w:val="00433CAC"/>
    <w:rsid w:val="0043514F"/>
    <w:rsid w:val="00443A6A"/>
    <w:rsid w:val="00445138"/>
    <w:rsid w:val="0045059E"/>
    <w:rsid w:val="00454729"/>
    <w:rsid w:val="0045603C"/>
    <w:rsid w:val="00460EB4"/>
    <w:rsid w:val="00467205"/>
    <w:rsid w:val="00467ACF"/>
    <w:rsid w:val="00472FE0"/>
    <w:rsid w:val="00475B58"/>
    <w:rsid w:val="00475DE6"/>
    <w:rsid w:val="00476514"/>
    <w:rsid w:val="00476CBF"/>
    <w:rsid w:val="00482D35"/>
    <w:rsid w:val="00491398"/>
    <w:rsid w:val="0049268F"/>
    <w:rsid w:val="00493F67"/>
    <w:rsid w:val="00495406"/>
    <w:rsid w:val="004A1738"/>
    <w:rsid w:val="004A3383"/>
    <w:rsid w:val="004A69CC"/>
    <w:rsid w:val="004B080F"/>
    <w:rsid w:val="004B1D90"/>
    <w:rsid w:val="004B3B5E"/>
    <w:rsid w:val="004B4839"/>
    <w:rsid w:val="004B5263"/>
    <w:rsid w:val="004B5C97"/>
    <w:rsid w:val="004C1DDF"/>
    <w:rsid w:val="004C3949"/>
    <w:rsid w:val="004C5604"/>
    <w:rsid w:val="004C7BB4"/>
    <w:rsid w:val="004D09D1"/>
    <w:rsid w:val="004D5DEA"/>
    <w:rsid w:val="004D6951"/>
    <w:rsid w:val="004E5240"/>
    <w:rsid w:val="004E732A"/>
    <w:rsid w:val="005113DD"/>
    <w:rsid w:val="00516E08"/>
    <w:rsid w:val="00517B10"/>
    <w:rsid w:val="0052229F"/>
    <w:rsid w:val="00534BA7"/>
    <w:rsid w:val="0054025D"/>
    <w:rsid w:val="00541401"/>
    <w:rsid w:val="005417C7"/>
    <w:rsid w:val="005556EB"/>
    <w:rsid w:val="005559D6"/>
    <w:rsid w:val="00557463"/>
    <w:rsid w:val="00573D30"/>
    <w:rsid w:val="005740E7"/>
    <w:rsid w:val="005767B3"/>
    <w:rsid w:val="005811A3"/>
    <w:rsid w:val="005916D2"/>
    <w:rsid w:val="00592298"/>
    <w:rsid w:val="00594C11"/>
    <w:rsid w:val="005A1DFB"/>
    <w:rsid w:val="005A7E61"/>
    <w:rsid w:val="005B09EF"/>
    <w:rsid w:val="005C14EB"/>
    <w:rsid w:val="005E00B7"/>
    <w:rsid w:val="005E3090"/>
    <w:rsid w:val="005E4CF9"/>
    <w:rsid w:val="005E6996"/>
    <w:rsid w:val="005E7055"/>
    <w:rsid w:val="005F0168"/>
    <w:rsid w:val="005F5D5B"/>
    <w:rsid w:val="005F5E4F"/>
    <w:rsid w:val="005F6BB3"/>
    <w:rsid w:val="00612A0A"/>
    <w:rsid w:val="006135AC"/>
    <w:rsid w:val="006136BF"/>
    <w:rsid w:val="00622758"/>
    <w:rsid w:val="006372D3"/>
    <w:rsid w:val="00650145"/>
    <w:rsid w:val="00654CBE"/>
    <w:rsid w:val="006550CA"/>
    <w:rsid w:val="006641DA"/>
    <w:rsid w:val="00664C6F"/>
    <w:rsid w:val="006821E5"/>
    <w:rsid w:val="00685FC5"/>
    <w:rsid w:val="00687D64"/>
    <w:rsid w:val="006915EE"/>
    <w:rsid w:val="006946EE"/>
    <w:rsid w:val="006A0BCC"/>
    <w:rsid w:val="006A29F2"/>
    <w:rsid w:val="006B2544"/>
    <w:rsid w:val="006D3182"/>
    <w:rsid w:val="006E127A"/>
    <w:rsid w:val="006E7173"/>
    <w:rsid w:val="006F0AEB"/>
    <w:rsid w:val="006F1BEB"/>
    <w:rsid w:val="006F4DA2"/>
    <w:rsid w:val="006F6F7B"/>
    <w:rsid w:val="00711FC9"/>
    <w:rsid w:val="0071631B"/>
    <w:rsid w:val="00721B4C"/>
    <w:rsid w:val="00721EB6"/>
    <w:rsid w:val="00726828"/>
    <w:rsid w:val="00733611"/>
    <w:rsid w:val="00736227"/>
    <w:rsid w:val="007404F3"/>
    <w:rsid w:val="00740DC2"/>
    <w:rsid w:val="0074555B"/>
    <w:rsid w:val="00755E96"/>
    <w:rsid w:val="007566CF"/>
    <w:rsid w:val="0076077B"/>
    <w:rsid w:val="007635F9"/>
    <w:rsid w:val="00763F9B"/>
    <w:rsid w:val="0076637B"/>
    <w:rsid w:val="0076690A"/>
    <w:rsid w:val="00767204"/>
    <w:rsid w:val="00774E28"/>
    <w:rsid w:val="007770FE"/>
    <w:rsid w:val="007834B8"/>
    <w:rsid w:val="0079117B"/>
    <w:rsid w:val="007925C7"/>
    <w:rsid w:val="007946E6"/>
    <w:rsid w:val="007A6F37"/>
    <w:rsid w:val="007A7EDE"/>
    <w:rsid w:val="007C2843"/>
    <w:rsid w:val="007D2B26"/>
    <w:rsid w:val="007D3F88"/>
    <w:rsid w:val="007D6990"/>
    <w:rsid w:val="007D7425"/>
    <w:rsid w:val="007D7AAD"/>
    <w:rsid w:val="007E1C86"/>
    <w:rsid w:val="007E1E18"/>
    <w:rsid w:val="007E607A"/>
    <w:rsid w:val="007F1BD5"/>
    <w:rsid w:val="007F334D"/>
    <w:rsid w:val="007F5E33"/>
    <w:rsid w:val="007F6DF4"/>
    <w:rsid w:val="008074E0"/>
    <w:rsid w:val="008104D7"/>
    <w:rsid w:val="008131EA"/>
    <w:rsid w:val="008135E8"/>
    <w:rsid w:val="00814951"/>
    <w:rsid w:val="00814B21"/>
    <w:rsid w:val="00814E82"/>
    <w:rsid w:val="00815ADD"/>
    <w:rsid w:val="00822444"/>
    <w:rsid w:val="00826F6A"/>
    <w:rsid w:val="00827B2B"/>
    <w:rsid w:val="00831235"/>
    <w:rsid w:val="00832F22"/>
    <w:rsid w:val="00835EC1"/>
    <w:rsid w:val="00836171"/>
    <w:rsid w:val="00840A07"/>
    <w:rsid w:val="00842B64"/>
    <w:rsid w:val="008551F9"/>
    <w:rsid w:val="008610C2"/>
    <w:rsid w:val="0086254E"/>
    <w:rsid w:val="00865642"/>
    <w:rsid w:val="00876AAC"/>
    <w:rsid w:val="008804D1"/>
    <w:rsid w:val="00885995"/>
    <w:rsid w:val="00885CD1"/>
    <w:rsid w:val="0088727A"/>
    <w:rsid w:val="00894308"/>
    <w:rsid w:val="00894881"/>
    <w:rsid w:val="00894A37"/>
    <w:rsid w:val="008972D1"/>
    <w:rsid w:val="008A19C1"/>
    <w:rsid w:val="008A1E17"/>
    <w:rsid w:val="008A1FC5"/>
    <w:rsid w:val="008A2540"/>
    <w:rsid w:val="008A785E"/>
    <w:rsid w:val="008B105F"/>
    <w:rsid w:val="008B2F39"/>
    <w:rsid w:val="008B547E"/>
    <w:rsid w:val="008D3168"/>
    <w:rsid w:val="008D6B26"/>
    <w:rsid w:val="008D7E83"/>
    <w:rsid w:val="008E186A"/>
    <w:rsid w:val="008E1DC7"/>
    <w:rsid w:val="008F3A5C"/>
    <w:rsid w:val="008F7519"/>
    <w:rsid w:val="00900BF2"/>
    <w:rsid w:val="009135B3"/>
    <w:rsid w:val="00921CFA"/>
    <w:rsid w:val="00925210"/>
    <w:rsid w:val="00926AE1"/>
    <w:rsid w:val="00933498"/>
    <w:rsid w:val="00935A8C"/>
    <w:rsid w:val="00943546"/>
    <w:rsid w:val="00955D8A"/>
    <w:rsid w:val="00960835"/>
    <w:rsid w:val="0096108A"/>
    <w:rsid w:val="00961572"/>
    <w:rsid w:val="00963EA0"/>
    <w:rsid w:val="00966850"/>
    <w:rsid w:val="009670A2"/>
    <w:rsid w:val="00967CA1"/>
    <w:rsid w:val="00982251"/>
    <w:rsid w:val="00983770"/>
    <w:rsid w:val="00992723"/>
    <w:rsid w:val="00994E8D"/>
    <w:rsid w:val="009A03C2"/>
    <w:rsid w:val="009A0543"/>
    <w:rsid w:val="009A0F82"/>
    <w:rsid w:val="009A29EE"/>
    <w:rsid w:val="009A3470"/>
    <w:rsid w:val="009A52DC"/>
    <w:rsid w:val="009B0CAA"/>
    <w:rsid w:val="009B4513"/>
    <w:rsid w:val="009B5B9C"/>
    <w:rsid w:val="009C0909"/>
    <w:rsid w:val="009C36AC"/>
    <w:rsid w:val="009C3925"/>
    <w:rsid w:val="009C453E"/>
    <w:rsid w:val="009C6A5D"/>
    <w:rsid w:val="009C7805"/>
    <w:rsid w:val="009D387B"/>
    <w:rsid w:val="009D3C7F"/>
    <w:rsid w:val="009D4372"/>
    <w:rsid w:val="009E775B"/>
    <w:rsid w:val="00A01657"/>
    <w:rsid w:val="00A10431"/>
    <w:rsid w:val="00A13554"/>
    <w:rsid w:val="00A27362"/>
    <w:rsid w:val="00A31755"/>
    <w:rsid w:val="00A329C4"/>
    <w:rsid w:val="00A33634"/>
    <w:rsid w:val="00A35ED3"/>
    <w:rsid w:val="00A36F2B"/>
    <w:rsid w:val="00A41F28"/>
    <w:rsid w:val="00A519E0"/>
    <w:rsid w:val="00A5225C"/>
    <w:rsid w:val="00A52EF1"/>
    <w:rsid w:val="00A606E9"/>
    <w:rsid w:val="00A62529"/>
    <w:rsid w:val="00A64412"/>
    <w:rsid w:val="00A64750"/>
    <w:rsid w:val="00A672FF"/>
    <w:rsid w:val="00A67C15"/>
    <w:rsid w:val="00A77591"/>
    <w:rsid w:val="00A807A7"/>
    <w:rsid w:val="00A82C01"/>
    <w:rsid w:val="00A901F9"/>
    <w:rsid w:val="00A90F69"/>
    <w:rsid w:val="00A959F4"/>
    <w:rsid w:val="00AA2130"/>
    <w:rsid w:val="00AA559D"/>
    <w:rsid w:val="00AB6276"/>
    <w:rsid w:val="00AC4F14"/>
    <w:rsid w:val="00AC6AD6"/>
    <w:rsid w:val="00AD270B"/>
    <w:rsid w:val="00AD4DC7"/>
    <w:rsid w:val="00AD79A6"/>
    <w:rsid w:val="00AE03A6"/>
    <w:rsid w:val="00AE1AD5"/>
    <w:rsid w:val="00AE354D"/>
    <w:rsid w:val="00AF28D1"/>
    <w:rsid w:val="00AF644D"/>
    <w:rsid w:val="00B13546"/>
    <w:rsid w:val="00B24BB3"/>
    <w:rsid w:val="00B308DB"/>
    <w:rsid w:val="00B3155F"/>
    <w:rsid w:val="00B354DF"/>
    <w:rsid w:val="00B41614"/>
    <w:rsid w:val="00B416A8"/>
    <w:rsid w:val="00B50523"/>
    <w:rsid w:val="00B540E6"/>
    <w:rsid w:val="00B54502"/>
    <w:rsid w:val="00B54BBF"/>
    <w:rsid w:val="00B61AB6"/>
    <w:rsid w:val="00B628EE"/>
    <w:rsid w:val="00B6486D"/>
    <w:rsid w:val="00B70D80"/>
    <w:rsid w:val="00B72929"/>
    <w:rsid w:val="00B76B7D"/>
    <w:rsid w:val="00B77BAF"/>
    <w:rsid w:val="00B836E7"/>
    <w:rsid w:val="00BA6B2F"/>
    <w:rsid w:val="00BB1AF6"/>
    <w:rsid w:val="00BB3D47"/>
    <w:rsid w:val="00BB4737"/>
    <w:rsid w:val="00BC1610"/>
    <w:rsid w:val="00BD3B86"/>
    <w:rsid w:val="00BE197D"/>
    <w:rsid w:val="00BE3795"/>
    <w:rsid w:val="00BE37F2"/>
    <w:rsid w:val="00BE41B1"/>
    <w:rsid w:val="00BF0302"/>
    <w:rsid w:val="00BF3897"/>
    <w:rsid w:val="00BF7631"/>
    <w:rsid w:val="00C01CD2"/>
    <w:rsid w:val="00C03DFF"/>
    <w:rsid w:val="00C04BB0"/>
    <w:rsid w:val="00C05AF5"/>
    <w:rsid w:val="00C05DDF"/>
    <w:rsid w:val="00C13FB0"/>
    <w:rsid w:val="00C14534"/>
    <w:rsid w:val="00C2077C"/>
    <w:rsid w:val="00C2124D"/>
    <w:rsid w:val="00C25D4D"/>
    <w:rsid w:val="00C2623E"/>
    <w:rsid w:val="00C268A7"/>
    <w:rsid w:val="00C26F0F"/>
    <w:rsid w:val="00C304C4"/>
    <w:rsid w:val="00C3094C"/>
    <w:rsid w:val="00C343CA"/>
    <w:rsid w:val="00C34DC5"/>
    <w:rsid w:val="00C353A4"/>
    <w:rsid w:val="00C36228"/>
    <w:rsid w:val="00C37C3D"/>
    <w:rsid w:val="00C40A6D"/>
    <w:rsid w:val="00C418FC"/>
    <w:rsid w:val="00C452F3"/>
    <w:rsid w:val="00C46CD8"/>
    <w:rsid w:val="00C566FB"/>
    <w:rsid w:val="00C57DB7"/>
    <w:rsid w:val="00C62960"/>
    <w:rsid w:val="00C63238"/>
    <w:rsid w:val="00C63B11"/>
    <w:rsid w:val="00C640C2"/>
    <w:rsid w:val="00C66566"/>
    <w:rsid w:val="00C6769F"/>
    <w:rsid w:val="00C72089"/>
    <w:rsid w:val="00C73579"/>
    <w:rsid w:val="00C76556"/>
    <w:rsid w:val="00C86AAB"/>
    <w:rsid w:val="00C87501"/>
    <w:rsid w:val="00C92D13"/>
    <w:rsid w:val="00C974FD"/>
    <w:rsid w:val="00CA029C"/>
    <w:rsid w:val="00CA1203"/>
    <w:rsid w:val="00CA1631"/>
    <w:rsid w:val="00CA65D6"/>
    <w:rsid w:val="00CC271E"/>
    <w:rsid w:val="00CC7030"/>
    <w:rsid w:val="00CD21BA"/>
    <w:rsid w:val="00CD7DB2"/>
    <w:rsid w:val="00CE2036"/>
    <w:rsid w:val="00CF3B0C"/>
    <w:rsid w:val="00CF620B"/>
    <w:rsid w:val="00CF7FFA"/>
    <w:rsid w:val="00D033C9"/>
    <w:rsid w:val="00D04446"/>
    <w:rsid w:val="00D07DB6"/>
    <w:rsid w:val="00D21E15"/>
    <w:rsid w:val="00D2550B"/>
    <w:rsid w:val="00D31101"/>
    <w:rsid w:val="00D34E1A"/>
    <w:rsid w:val="00D52087"/>
    <w:rsid w:val="00D560E5"/>
    <w:rsid w:val="00D619CB"/>
    <w:rsid w:val="00D62A4F"/>
    <w:rsid w:val="00D664A5"/>
    <w:rsid w:val="00D67481"/>
    <w:rsid w:val="00D8140D"/>
    <w:rsid w:val="00D84583"/>
    <w:rsid w:val="00D85056"/>
    <w:rsid w:val="00D943BF"/>
    <w:rsid w:val="00DA03C1"/>
    <w:rsid w:val="00DA175B"/>
    <w:rsid w:val="00DA40BB"/>
    <w:rsid w:val="00DB08C4"/>
    <w:rsid w:val="00DC72C7"/>
    <w:rsid w:val="00DD453E"/>
    <w:rsid w:val="00DF659B"/>
    <w:rsid w:val="00E10711"/>
    <w:rsid w:val="00E11E26"/>
    <w:rsid w:val="00E14B26"/>
    <w:rsid w:val="00E14C0C"/>
    <w:rsid w:val="00E1560C"/>
    <w:rsid w:val="00E16900"/>
    <w:rsid w:val="00E17093"/>
    <w:rsid w:val="00E207D0"/>
    <w:rsid w:val="00E212F9"/>
    <w:rsid w:val="00E25314"/>
    <w:rsid w:val="00E2700E"/>
    <w:rsid w:val="00E31D3B"/>
    <w:rsid w:val="00E357CC"/>
    <w:rsid w:val="00E3596E"/>
    <w:rsid w:val="00E359A2"/>
    <w:rsid w:val="00E4182A"/>
    <w:rsid w:val="00E45057"/>
    <w:rsid w:val="00E518EF"/>
    <w:rsid w:val="00E60B4B"/>
    <w:rsid w:val="00E639FA"/>
    <w:rsid w:val="00E6692F"/>
    <w:rsid w:val="00E77A9C"/>
    <w:rsid w:val="00E87002"/>
    <w:rsid w:val="00E87ED0"/>
    <w:rsid w:val="00E90293"/>
    <w:rsid w:val="00E92E07"/>
    <w:rsid w:val="00E96483"/>
    <w:rsid w:val="00E977BE"/>
    <w:rsid w:val="00E97ADA"/>
    <w:rsid w:val="00EA0F01"/>
    <w:rsid w:val="00EA3D43"/>
    <w:rsid w:val="00EA61AF"/>
    <w:rsid w:val="00EA6874"/>
    <w:rsid w:val="00EB6D27"/>
    <w:rsid w:val="00EC175A"/>
    <w:rsid w:val="00EC189D"/>
    <w:rsid w:val="00EC21EE"/>
    <w:rsid w:val="00EC418C"/>
    <w:rsid w:val="00EC4E90"/>
    <w:rsid w:val="00EC57D1"/>
    <w:rsid w:val="00ED200B"/>
    <w:rsid w:val="00ED4A60"/>
    <w:rsid w:val="00ED6437"/>
    <w:rsid w:val="00ED6B4E"/>
    <w:rsid w:val="00EE2823"/>
    <w:rsid w:val="00EF2A72"/>
    <w:rsid w:val="00EF383C"/>
    <w:rsid w:val="00F0318D"/>
    <w:rsid w:val="00F03460"/>
    <w:rsid w:val="00F145E7"/>
    <w:rsid w:val="00F25C75"/>
    <w:rsid w:val="00F31C9F"/>
    <w:rsid w:val="00F331A8"/>
    <w:rsid w:val="00F40EBB"/>
    <w:rsid w:val="00F4100A"/>
    <w:rsid w:val="00F42FAE"/>
    <w:rsid w:val="00F4727C"/>
    <w:rsid w:val="00F52671"/>
    <w:rsid w:val="00F67D7E"/>
    <w:rsid w:val="00F7398C"/>
    <w:rsid w:val="00F73A1E"/>
    <w:rsid w:val="00F74E17"/>
    <w:rsid w:val="00F81D00"/>
    <w:rsid w:val="00F84298"/>
    <w:rsid w:val="00F84A5B"/>
    <w:rsid w:val="00F84C5E"/>
    <w:rsid w:val="00F92E9B"/>
    <w:rsid w:val="00F94C73"/>
    <w:rsid w:val="00FA7736"/>
    <w:rsid w:val="00FD6E57"/>
    <w:rsid w:val="00FE0AEB"/>
    <w:rsid w:val="00FE3C28"/>
    <w:rsid w:val="00FE7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DFF311"/>
  <w15:chartTrackingRefBased/>
  <w15:docId w15:val="{11EAD048-0A51-E146-BF2C-21C5B780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6641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C7DA9"/>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407372"/>
    <w:rPr>
      <w:color w:val="0563C1" w:themeColor="hyperlink"/>
      <w:u w:val="single"/>
    </w:rPr>
  </w:style>
  <w:style w:type="character" w:styleId="Olstomnmnande">
    <w:name w:val="Unresolved Mention"/>
    <w:basedOn w:val="Standardstycketeckensnitt"/>
    <w:uiPriority w:val="99"/>
    <w:semiHidden/>
    <w:unhideWhenUsed/>
    <w:rsid w:val="00407372"/>
    <w:rPr>
      <w:color w:val="605E5C"/>
      <w:shd w:val="clear" w:color="auto" w:fill="E1DFDD"/>
    </w:rPr>
  </w:style>
  <w:style w:type="character" w:styleId="AnvndHyperlnk">
    <w:name w:val="FollowedHyperlink"/>
    <w:basedOn w:val="Standardstycketeckensnitt"/>
    <w:uiPriority w:val="99"/>
    <w:semiHidden/>
    <w:unhideWhenUsed/>
    <w:rsid w:val="00C36228"/>
    <w:rPr>
      <w:color w:val="954F72" w:themeColor="followedHyperlink"/>
      <w:u w:val="single"/>
    </w:rPr>
  </w:style>
  <w:style w:type="paragraph" w:styleId="Sidhuvud">
    <w:name w:val="header"/>
    <w:basedOn w:val="Normal"/>
    <w:link w:val="SidhuvudChar"/>
    <w:uiPriority w:val="99"/>
    <w:unhideWhenUsed/>
    <w:rsid w:val="007F334D"/>
    <w:pPr>
      <w:tabs>
        <w:tab w:val="center" w:pos="4536"/>
        <w:tab w:val="right" w:pos="9072"/>
      </w:tabs>
    </w:pPr>
  </w:style>
  <w:style w:type="character" w:customStyle="1" w:styleId="SidhuvudChar">
    <w:name w:val="Sidhuvud Char"/>
    <w:basedOn w:val="Standardstycketeckensnitt"/>
    <w:link w:val="Sidhuvud"/>
    <w:uiPriority w:val="99"/>
    <w:rsid w:val="007F334D"/>
  </w:style>
  <w:style w:type="paragraph" w:styleId="Sidfot">
    <w:name w:val="footer"/>
    <w:basedOn w:val="Normal"/>
    <w:link w:val="SidfotChar"/>
    <w:uiPriority w:val="99"/>
    <w:unhideWhenUsed/>
    <w:rsid w:val="007F334D"/>
    <w:pPr>
      <w:tabs>
        <w:tab w:val="center" w:pos="4536"/>
        <w:tab w:val="right" w:pos="9072"/>
      </w:tabs>
    </w:pPr>
  </w:style>
  <w:style w:type="character" w:customStyle="1" w:styleId="SidfotChar">
    <w:name w:val="Sidfot Char"/>
    <w:basedOn w:val="Standardstycketeckensnitt"/>
    <w:link w:val="Sidfot"/>
    <w:uiPriority w:val="99"/>
    <w:rsid w:val="007F334D"/>
  </w:style>
  <w:style w:type="character" w:styleId="Sidnummer">
    <w:name w:val="page number"/>
    <w:basedOn w:val="Standardstycketeckensnitt"/>
    <w:uiPriority w:val="99"/>
    <w:semiHidden/>
    <w:unhideWhenUsed/>
    <w:rsid w:val="005767B3"/>
  </w:style>
  <w:style w:type="paragraph" w:styleId="Revision">
    <w:name w:val="Revision"/>
    <w:hidden/>
    <w:uiPriority w:val="99"/>
    <w:semiHidden/>
    <w:rsid w:val="007834B8"/>
  </w:style>
  <w:style w:type="paragraph" w:styleId="Fotnotstext">
    <w:name w:val="footnote text"/>
    <w:basedOn w:val="Normal"/>
    <w:link w:val="FotnotstextChar"/>
    <w:uiPriority w:val="99"/>
    <w:semiHidden/>
    <w:unhideWhenUsed/>
    <w:rsid w:val="00B76B7D"/>
    <w:rPr>
      <w:sz w:val="20"/>
      <w:szCs w:val="20"/>
    </w:rPr>
  </w:style>
  <w:style w:type="character" w:customStyle="1" w:styleId="FotnotstextChar">
    <w:name w:val="Fotnotstext Char"/>
    <w:basedOn w:val="Standardstycketeckensnitt"/>
    <w:link w:val="Fotnotstext"/>
    <w:uiPriority w:val="99"/>
    <w:semiHidden/>
    <w:rsid w:val="00B76B7D"/>
    <w:rPr>
      <w:sz w:val="20"/>
      <w:szCs w:val="20"/>
    </w:rPr>
  </w:style>
  <w:style w:type="character" w:styleId="Fotnotsreferens">
    <w:name w:val="footnote reference"/>
    <w:basedOn w:val="Standardstycketeckensnitt"/>
    <w:uiPriority w:val="99"/>
    <w:semiHidden/>
    <w:unhideWhenUsed/>
    <w:rsid w:val="00B76B7D"/>
    <w:rPr>
      <w:vertAlign w:val="superscript"/>
    </w:rPr>
  </w:style>
  <w:style w:type="character" w:styleId="Kommentarsreferens">
    <w:name w:val="annotation reference"/>
    <w:basedOn w:val="Standardstycketeckensnitt"/>
    <w:uiPriority w:val="99"/>
    <w:semiHidden/>
    <w:unhideWhenUsed/>
    <w:rsid w:val="00842B64"/>
    <w:rPr>
      <w:sz w:val="16"/>
      <w:szCs w:val="16"/>
    </w:rPr>
  </w:style>
  <w:style w:type="paragraph" w:styleId="Kommentarer">
    <w:name w:val="annotation text"/>
    <w:basedOn w:val="Normal"/>
    <w:link w:val="KommentarerChar"/>
    <w:uiPriority w:val="99"/>
    <w:semiHidden/>
    <w:unhideWhenUsed/>
    <w:rsid w:val="00842B64"/>
    <w:rPr>
      <w:sz w:val="20"/>
      <w:szCs w:val="20"/>
    </w:rPr>
  </w:style>
  <w:style w:type="character" w:customStyle="1" w:styleId="KommentarerChar">
    <w:name w:val="Kommentarer Char"/>
    <w:basedOn w:val="Standardstycketeckensnitt"/>
    <w:link w:val="Kommentarer"/>
    <w:uiPriority w:val="99"/>
    <w:semiHidden/>
    <w:rsid w:val="00842B64"/>
    <w:rPr>
      <w:sz w:val="20"/>
      <w:szCs w:val="20"/>
    </w:rPr>
  </w:style>
  <w:style w:type="paragraph" w:styleId="Kommentarsmne">
    <w:name w:val="annotation subject"/>
    <w:basedOn w:val="Kommentarer"/>
    <w:next w:val="Kommentarer"/>
    <w:link w:val="KommentarsmneChar"/>
    <w:uiPriority w:val="99"/>
    <w:semiHidden/>
    <w:unhideWhenUsed/>
    <w:rsid w:val="00842B64"/>
    <w:rPr>
      <w:b/>
      <w:bCs/>
    </w:rPr>
  </w:style>
  <w:style w:type="character" w:customStyle="1" w:styleId="KommentarsmneChar">
    <w:name w:val="Kommentarsämne Char"/>
    <w:basedOn w:val="KommentarerChar"/>
    <w:link w:val="Kommentarsmne"/>
    <w:uiPriority w:val="99"/>
    <w:semiHidden/>
    <w:rsid w:val="00842B64"/>
    <w:rPr>
      <w:b/>
      <w:bCs/>
      <w:sz w:val="20"/>
      <w:szCs w:val="20"/>
    </w:rPr>
  </w:style>
  <w:style w:type="paragraph" w:customStyle="1" w:styleId="chrome">
    <w:name w:val="chrome"/>
    <w:basedOn w:val="Normal"/>
    <w:rsid w:val="00C62960"/>
    <w:pPr>
      <w:spacing w:before="100" w:beforeAutospacing="1" w:after="100" w:afterAutospacing="1"/>
    </w:pPr>
    <w:rPr>
      <w:rFonts w:ascii="Times New Roman" w:eastAsia="Times New Roman" w:hAnsi="Times New Roman" w:cs="Times New Roman"/>
    </w:rPr>
  </w:style>
  <w:style w:type="character" w:customStyle="1" w:styleId="Rubrik2Char">
    <w:name w:val="Rubrik 2 Char"/>
    <w:basedOn w:val="Standardstycketeckensnitt"/>
    <w:link w:val="Rubrik2"/>
    <w:uiPriority w:val="9"/>
    <w:rsid w:val="006641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17941">
      <w:bodyDiv w:val="1"/>
      <w:marLeft w:val="0"/>
      <w:marRight w:val="0"/>
      <w:marTop w:val="0"/>
      <w:marBottom w:val="0"/>
      <w:divBdr>
        <w:top w:val="none" w:sz="0" w:space="0" w:color="auto"/>
        <w:left w:val="none" w:sz="0" w:space="0" w:color="auto"/>
        <w:bottom w:val="none" w:sz="0" w:space="0" w:color="auto"/>
        <w:right w:val="none" w:sz="0" w:space="0" w:color="auto"/>
      </w:divBdr>
    </w:div>
    <w:div w:id="938293118">
      <w:bodyDiv w:val="1"/>
      <w:marLeft w:val="0"/>
      <w:marRight w:val="0"/>
      <w:marTop w:val="0"/>
      <w:marBottom w:val="0"/>
      <w:divBdr>
        <w:top w:val="none" w:sz="0" w:space="0" w:color="auto"/>
        <w:left w:val="none" w:sz="0" w:space="0" w:color="auto"/>
        <w:bottom w:val="none" w:sz="0" w:space="0" w:color="auto"/>
        <w:right w:val="none" w:sz="0" w:space="0" w:color="auto"/>
      </w:divBdr>
    </w:div>
    <w:div w:id="1113672100">
      <w:bodyDiv w:val="1"/>
      <w:marLeft w:val="0"/>
      <w:marRight w:val="0"/>
      <w:marTop w:val="0"/>
      <w:marBottom w:val="0"/>
      <w:divBdr>
        <w:top w:val="none" w:sz="0" w:space="0" w:color="auto"/>
        <w:left w:val="none" w:sz="0" w:space="0" w:color="auto"/>
        <w:bottom w:val="none" w:sz="0" w:space="0" w:color="auto"/>
        <w:right w:val="none" w:sz="0" w:space="0" w:color="auto"/>
      </w:divBdr>
    </w:div>
    <w:div w:id="1138299419">
      <w:bodyDiv w:val="1"/>
      <w:marLeft w:val="0"/>
      <w:marRight w:val="0"/>
      <w:marTop w:val="0"/>
      <w:marBottom w:val="0"/>
      <w:divBdr>
        <w:top w:val="none" w:sz="0" w:space="0" w:color="auto"/>
        <w:left w:val="none" w:sz="0" w:space="0" w:color="auto"/>
        <w:bottom w:val="none" w:sz="0" w:space="0" w:color="auto"/>
        <w:right w:val="none" w:sz="0" w:space="0" w:color="auto"/>
      </w:divBdr>
    </w:div>
    <w:div w:id="1290164441">
      <w:bodyDiv w:val="1"/>
      <w:marLeft w:val="0"/>
      <w:marRight w:val="0"/>
      <w:marTop w:val="0"/>
      <w:marBottom w:val="0"/>
      <w:divBdr>
        <w:top w:val="none" w:sz="0" w:space="0" w:color="auto"/>
        <w:left w:val="none" w:sz="0" w:space="0" w:color="auto"/>
        <w:bottom w:val="none" w:sz="0" w:space="0" w:color="auto"/>
        <w:right w:val="none" w:sz="0" w:space="0" w:color="auto"/>
      </w:divBdr>
      <w:divsChild>
        <w:div w:id="1543249237">
          <w:marLeft w:val="0"/>
          <w:marRight w:val="0"/>
          <w:marTop w:val="0"/>
          <w:marBottom w:val="0"/>
          <w:divBdr>
            <w:top w:val="none" w:sz="0" w:space="0" w:color="auto"/>
            <w:left w:val="none" w:sz="0" w:space="0" w:color="auto"/>
            <w:bottom w:val="none" w:sz="0" w:space="0" w:color="auto"/>
            <w:right w:val="none" w:sz="0" w:space="0" w:color="auto"/>
          </w:divBdr>
          <w:divsChild>
            <w:div w:id="2028631107">
              <w:marLeft w:val="0"/>
              <w:marRight w:val="0"/>
              <w:marTop w:val="0"/>
              <w:marBottom w:val="0"/>
              <w:divBdr>
                <w:top w:val="none" w:sz="0" w:space="0" w:color="auto"/>
                <w:left w:val="none" w:sz="0" w:space="0" w:color="auto"/>
                <w:bottom w:val="none" w:sz="0" w:space="0" w:color="auto"/>
                <w:right w:val="none" w:sz="0" w:space="0" w:color="auto"/>
              </w:divBdr>
              <w:divsChild>
                <w:div w:id="2563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cc.ch/report/ar6/wg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cf3299-9573-4a58-beeb-36e55a0a02b7" xsi:nil="true"/>
    <lcf76f155ced4ddcb4097134ff3c332f xmlns="b46b9808-7eec-4557-8a10-cd7b08f26e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CD8AE9B02F834195A39A8818C62C25" ma:contentTypeVersion="14" ma:contentTypeDescription="Skapa ett nytt dokument." ma:contentTypeScope="" ma:versionID="bcf44bd2004762a9489ce0e46ab11605">
  <xsd:schema xmlns:xsd="http://www.w3.org/2001/XMLSchema" xmlns:xs="http://www.w3.org/2001/XMLSchema" xmlns:p="http://schemas.microsoft.com/office/2006/metadata/properties" xmlns:ns2="b46b9808-7eec-4557-8a10-cd7b08f26e01" xmlns:ns3="accf3299-9573-4a58-beeb-36e55a0a02b7" targetNamespace="http://schemas.microsoft.com/office/2006/metadata/properties" ma:root="true" ma:fieldsID="6867e810036b9e8e153587add2d39fbe" ns2:_="" ns3:_="">
    <xsd:import namespace="b46b9808-7eec-4557-8a10-cd7b08f26e01"/>
    <xsd:import namespace="accf3299-9573-4a58-beeb-36e55a0a02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b9808-7eec-4557-8a10-cd7b08f26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05e4c55e-88cb-4eed-b3cd-b87cde6875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cf3299-9573-4a58-beeb-36e55a0a02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c39796-daf0-44f0-9bdc-1b952d1d5c8a}" ma:internalName="TaxCatchAll" ma:showField="CatchAllData" ma:web="accf3299-9573-4a58-beeb-36e55a0a0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64D44-5CD6-4540-A586-B225FB5E5C89}">
  <ds:schemaRefs>
    <ds:schemaRef ds:uri="http://schemas.openxmlformats.org/officeDocument/2006/bibliography"/>
  </ds:schemaRefs>
</ds:datastoreItem>
</file>

<file path=customXml/itemProps2.xml><?xml version="1.0" encoding="utf-8"?>
<ds:datastoreItem xmlns:ds="http://schemas.openxmlformats.org/officeDocument/2006/customXml" ds:itemID="{4514FD95-984A-4301-977F-37655BEBD5CE}">
  <ds:schemaRefs>
    <ds:schemaRef ds:uri="http://schemas.microsoft.com/office/2006/metadata/properties"/>
    <ds:schemaRef ds:uri="http://schemas.microsoft.com/office/infopath/2007/PartnerControls"/>
    <ds:schemaRef ds:uri="accf3299-9573-4a58-beeb-36e55a0a02b7"/>
    <ds:schemaRef ds:uri="b46b9808-7eec-4557-8a10-cd7b08f26e01"/>
  </ds:schemaRefs>
</ds:datastoreItem>
</file>

<file path=customXml/itemProps3.xml><?xml version="1.0" encoding="utf-8"?>
<ds:datastoreItem xmlns:ds="http://schemas.openxmlformats.org/officeDocument/2006/customXml" ds:itemID="{878626C2-78E0-4401-A006-66C659C7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b9808-7eec-4557-8a10-cd7b08f26e01"/>
    <ds:schemaRef ds:uri="accf3299-9573-4a58-beeb-36e55a0a0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14EB9-AA35-4AE6-8C84-B79CD4B03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1278</Words>
  <Characters>6775</Characters>
  <Application>Microsoft Office Word</Application>
  <DocSecurity>0</DocSecurity>
  <Lines>56</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Malin</dc:creator>
  <cp:keywords/>
  <dc:description/>
  <cp:lastModifiedBy>Henrik Blomqvist</cp:lastModifiedBy>
  <cp:revision>3</cp:revision>
  <cp:lastPrinted>2022-10-26T08:20:00Z</cp:lastPrinted>
  <dcterms:created xsi:type="dcterms:W3CDTF">2022-11-08T11:20:00Z</dcterms:created>
  <dcterms:modified xsi:type="dcterms:W3CDTF">2022-11-08T11:21:00Z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0x010100A3CD8AE9B02F834195A39A8818C62C25</vt:lpwstr>
  </property>
  <property fmtid="{D5CDD505-2E9C-101B-9397-08002B2CF9AE}" pid="3" name="MediaServiceImageTags">
    <vt:lpwstr/>
  </property>
</Properties>
</file>