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9934" w14:textId="77777777" w:rsidR="00D72537" w:rsidRDefault="00D72537" w:rsidP="00DD0AE4">
      <w:pPr>
        <w:pStyle w:val="Rubrik"/>
        <w:spacing w:before="0" w:line="240" w:lineRule="auto"/>
        <w:jc w:val="center"/>
        <w:rPr>
          <w:sz w:val="28"/>
          <w:szCs w:val="28"/>
        </w:rPr>
      </w:pPr>
      <w:r w:rsidRPr="002351E7">
        <w:rPr>
          <w:noProof/>
        </w:rPr>
        <mc:AlternateContent>
          <mc:Choice Requires="wps">
            <w:drawing>
              <wp:anchor distT="0" distB="0" distL="114300" distR="114300" simplePos="0" relativeHeight="251658241" behindDoc="0" locked="0" layoutInCell="1" allowOverlap="1" wp14:anchorId="1EC6E8DE" wp14:editId="4FE05DCC">
                <wp:simplePos x="0" y="0"/>
                <wp:positionH relativeFrom="column">
                  <wp:posOffset>-568046</wp:posOffset>
                </wp:positionH>
                <wp:positionV relativeFrom="paragraph">
                  <wp:posOffset>-612558</wp:posOffset>
                </wp:positionV>
                <wp:extent cx="4288790" cy="750570"/>
                <wp:effectExtent l="0" t="0" r="0" b="0"/>
                <wp:wrapNone/>
                <wp:docPr id="2" name="Zone de texte 4"/>
                <wp:cNvGraphicFramePr/>
                <a:graphic xmlns:a="http://schemas.openxmlformats.org/drawingml/2006/main">
                  <a:graphicData uri="http://schemas.microsoft.com/office/word/2010/wordprocessingShape">
                    <wps:wsp>
                      <wps:cNvSpPr txBox="1"/>
                      <wps:spPr>
                        <a:xfrm>
                          <a:off x="0" y="0"/>
                          <a:ext cx="4288790" cy="750570"/>
                        </a:xfrm>
                        <a:prstGeom prst="rect">
                          <a:avLst/>
                        </a:prstGeom>
                        <a:noFill/>
                        <a:ln w="6350">
                          <a:noFill/>
                        </a:ln>
                      </wps:spPr>
                      <wps:txbx>
                        <w:txbxContent>
                          <w:p w14:paraId="7830080B" w14:textId="77777777" w:rsidR="00D72537" w:rsidRPr="00732DD0" w:rsidRDefault="00D72537" w:rsidP="00D72537">
                            <w:pPr>
                              <w:pStyle w:val="zBandoTITLE"/>
                              <w:spacing w:after="0"/>
                              <w:rPr>
                                <w:sz w:val="40"/>
                                <w:szCs w:val="40"/>
                              </w:rPr>
                            </w:pPr>
                            <w:r>
                              <w:rPr>
                                <w:sz w:val="40"/>
                                <w:szCs w:val="40"/>
                              </w:rPr>
                              <w:t>ICC Global Taxation Commission</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6E8DE" id="_x0000_t202" coordsize="21600,21600" o:spt="202" path="m,l,21600r21600,l21600,xe">
                <v:stroke joinstyle="miter"/>
                <v:path gradientshapeok="t" o:connecttype="rect"/>
              </v:shapetype>
              <v:shape id="Zone de texte 4" o:spid="_x0000_s1026" type="#_x0000_t202" style="position:absolute;left:0;text-align:left;margin-left:-44.75pt;margin-top:-48.25pt;width:337.7pt;height:5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" filled="f" stroked="f" strokeweight=".5pt">
                <v:textbox inset="0">
                  <w:txbxContent>
                    <w:p w14:paraId="7830080B" w14:textId="77777777" w:rsidR="00D72537" w:rsidRPr="00732DD0" w:rsidRDefault="00D72537" w:rsidP="00D72537">
                      <w:pPr>
                        <w:pStyle w:val="zBandoTITLE"/>
                        <w:spacing w:after="0"/>
                        <w:rPr>
                          <w:sz w:val="40"/>
                          <w:szCs w:val="40"/>
                        </w:rPr>
                      </w:pPr>
                      <w:r>
                        <w:rPr>
                          <w:sz w:val="40"/>
                          <w:szCs w:val="40"/>
                        </w:rPr>
                        <w:t>ICC Global Taxation Commission</w:t>
                      </w:r>
                    </w:p>
                  </w:txbxContent>
                </v:textbox>
              </v:shape>
            </w:pict>
          </mc:Fallback>
        </mc:AlternateContent>
      </w:r>
    </w:p>
    <w:p w14:paraId="47C75CB9" w14:textId="77777777" w:rsidR="00D72537" w:rsidRDefault="00D72537" w:rsidP="00DD0AE4">
      <w:pPr>
        <w:tabs>
          <w:tab w:val="left" w:pos="6637"/>
        </w:tabs>
        <w:spacing w:after="0"/>
      </w:pPr>
      <w:r w:rsidRPr="002351E7">
        <w:rPr>
          <w:noProof/>
        </w:rPr>
        <w:drawing>
          <wp:anchor distT="0" distB="71755" distL="114300" distR="114300" simplePos="0" relativeHeight="251658240" behindDoc="1" locked="1" layoutInCell="1" allowOverlap="1" wp14:anchorId="6D7B2A15" wp14:editId="290A52B4">
            <wp:simplePos x="0" y="0"/>
            <wp:positionH relativeFrom="page">
              <wp:posOffset>-13970</wp:posOffset>
            </wp:positionH>
            <wp:positionV relativeFrom="page">
              <wp:posOffset>8890</wp:posOffset>
            </wp:positionV>
            <wp:extent cx="7565390" cy="1614805"/>
            <wp:effectExtent l="0" t="0" r="3810" b="0"/>
            <wp:wrapNone/>
            <wp:docPr id="9" name="Imag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Shape, arrow&#10;&#10;Description automatically generated"/>
                    <pic:cNvPicPr/>
                  </pic:nvPicPr>
                  <pic:blipFill>
                    <a:blip r:embed="rId10"/>
                    <a:stretch>
                      <a:fillRect/>
                    </a:stretch>
                  </pic:blipFill>
                  <pic:spPr>
                    <a:xfrm>
                      <a:off x="0" y="0"/>
                      <a:ext cx="7565390" cy="1614805"/>
                    </a:xfrm>
                    <a:prstGeom prst="rect">
                      <a:avLst/>
                    </a:prstGeom>
                  </pic:spPr>
                </pic:pic>
              </a:graphicData>
            </a:graphic>
            <wp14:sizeRelH relativeFrom="page">
              <wp14:pctWidth>0</wp14:pctWidth>
            </wp14:sizeRelH>
            <wp14:sizeRelV relativeFrom="page">
              <wp14:pctHeight>0</wp14:pctHeight>
            </wp14:sizeRelV>
          </wp:anchor>
        </w:drawing>
      </w:r>
    </w:p>
    <w:p w14:paraId="0CE15583" w14:textId="702D2D6D" w:rsidR="00711710" w:rsidRDefault="00D72537" w:rsidP="00DD0AE4">
      <w:pPr>
        <w:pStyle w:val="Rubrik"/>
        <w:spacing w:before="0" w:line="240" w:lineRule="auto"/>
        <w:jc w:val="center"/>
        <w:rPr>
          <w:color w:val="0070C0"/>
          <w:sz w:val="28"/>
          <w:szCs w:val="28"/>
        </w:rPr>
      </w:pPr>
      <w:r w:rsidRPr="00971627">
        <w:rPr>
          <w:color w:val="0070C0"/>
          <w:sz w:val="28"/>
          <w:szCs w:val="28"/>
        </w:rPr>
        <w:t xml:space="preserve">ICC comments in response to OECD public consultation document on the </w:t>
      </w:r>
      <w:r w:rsidR="00711710">
        <w:rPr>
          <w:color w:val="0070C0"/>
          <w:sz w:val="28"/>
          <w:szCs w:val="28"/>
        </w:rPr>
        <w:t xml:space="preserve">Implementation Framework of the global minimum tax </w:t>
      </w:r>
      <w:r w:rsidRPr="00971627">
        <w:rPr>
          <w:color w:val="0070C0"/>
          <w:sz w:val="28"/>
          <w:szCs w:val="28"/>
        </w:rPr>
        <w:t xml:space="preserve">under Pillar </w:t>
      </w:r>
      <w:r>
        <w:rPr>
          <w:color w:val="0070C0"/>
          <w:sz w:val="28"/>
          <w:szCs w:val="28"/>
        </w:rPr>
        <w:t>Two</w:t>
      </w:r>
    </w:p>
    <w:p w14:paraId="2AD81AA4" w14:textId="77777777" w:rsidR="00D72537" w:rsidRPr="00CD52E1" w:rsidRDefault="00D72537" w:rsidP="00DD0AE4">
      <w:pPr>
        <w:spacing w:after="0"/>
      </w:pPr>
    </w:p>
    <w:p w14:paraId="3F82C2F2" w14:textId="654CB952" w:rsidR="00D72537" w:rsidRPr="00181D10" w:rsidRDefault="00D72537" w:rsidP="00DD0AE4">
      <w:pPr>
        <w:spacing w:after="0"/>
        <w:contextualSpacing/>
        <w:rPr>
          <w:rFonts w:cs="Arial"/>
          <w:szCs w:val="22"/>
        </w:rPr>
      </w:pPr>
      <w:r w:rsidRPr="00181D10">
        <w:rPr>
          <w:rFonts w:cs="Arial"/>
          <w:szCs w:val="22"/>
        </w:rPr>
        <w:t xml:space="preserve">The International Chamber of Commerce (ICC), as the world business organization speaking with authority on behalf of enterprises from all sectors in every part of the world, appreciates the opportunity to provide input on the OECD </w:t>
      </w:r>
      <w:hyperlink r:id="rId11" w:history="1">
        <w:r w:rsidRPr="00181D10">
          <w:rPr>
            <w:rStyle w:val="Hyperlnk"/>
            <w:rFonts w:cs="Arial"/>
            <w:szCs w:val="22"/>
          </w:rPr>
          <w:t>public consultation document</w:t>
        </w:r>
      </w:hyperlink>
      <w:r w:rsidRPr="00181D10">
        <w:rPr>
          <w:rFonts w:cs="Arial"/>
          <w:szCs w:val="22"/>
        </w:rPr>
        <w:t xml:space="preserve"> on </w:t>
      </w:r>
      <w:r w:rsidR="001B3042">
        <w:rPr>
          <w:rFonts w:cs="Arial"/>
          <w:szCs w:val="22"/>
        </w:rPr>
        <w:t xml:space="preserve">the </w:t>
      </w:r>
      <w:r w:rsidR="006C75FF">
        <w:rPr>
          <w:rFonts w:cs="Arial"/>
          <w:szCs w:val="22"/>
        </w:rPr>
        <w:t>Global Anti-Base Erosion Model Rules (</w:t>
      </w:r>
      <w:r w:rsidR="001B3042">
        <w:rPr>
          <w:rFonts w:cs="Arial"/>
          <w:szCs w:val="22"/>
        </w:rPr>
        <w:t>GloBE</w:t>
      </w:r>
      <w:r w:rsidR="006C75FF">
        <w:rPr>
          <w:rFonts w:cs="Arial"/>
          <w:szCs w:val="22"/>
        </w:rPr>
        <w:t>)</w:t>
      </w:r>
      <w:r w:rsidR="001B3042">
        <w:rPr>
          <w:rFonts w:cs="Arial"/>
          <w:szCs w:val="22"/>
        </w:rPr>
        <w:t xml:space="preserve"> Implementation Framework</w:t>
      </w:r>
      <w:r w:rsidR="006C75FF">
        <w:rPr>
          <w:rFonts w:cs="Arial"/>
          <w:szCs w:val="22"/>
        </w:rPr>
        <w:t xml:space="preserve"> </w:t>
      </w:r>
      <w:r w:rsidR="007126AF">
        <w:rPr>
          <w:rFonts w:cs="Arial"/>
          <w:szCs w:val="22"/>
        </w:rPr>
        <w:t xml:space="preserve">of </w:t>
      </w:r>
      <w:r w:rsidRPr="00181D10">
        <w:rPr>
          <w:rFonts w:cs="Arial"/>
          <w:szCs w:val="22"/>
        </w:rPr>
        <w:t xml:space="preserve">Pillar </w:t>
      </w:r>
      <w:r w:rsidR="001B3042">
        <w:rPr>
          <w:rFonts w:cs="Arial"/>
          <w:szCs w:val="22"/>
        </w:rPr>
        <w:t>Two</w:t>
      </w:r>
      <w:r w:rsidRPr="00181D10">
        <w:rPr>
          <w:rFonts w:cs="Arial"/>
          <w:szCs w:val="22"/>
        </w:rPr>
        <w:t xml:space="preserve">. ICC advocates for a consistent global tax system, founded on the premise that stability, certainty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167D8EB1" w14:textId="77777777" w:rsidR="00D72537" w:rsidRPr="00181D10" w:rsidRDefault="00D72537" w:rsidP="00DD0AE4">
      <w:pPr>
        <w:spacing w:after="0"/>
        <w:contextualSpacing/>
        <w:rPr>
          <w:rFonts w:cs="Arial"/>
          <w:b/>
          <w:color w:val="0070C0"/>
          <w:szCs w:val="22"/>
          <w:u w:val="single"/>
        </w:rPr>
      </w:pPr>
    </w:p>
    <w:p w14:paraId="40CEF5CF" w14:textId="3F09DF1E" w:rsidR="00F35117" w:rsidRPr="0038790C" w:rsidRDefault="00D72537" w:rsidP="00DD0AE4">
      <w:pPr>
        <w:spacing w:after="0"/>
        <w:contextualSpacing/>
        <w:rPr>
          <w:rFonts w:cs="Arial"/>
          <w:color w:val="0070C0"/>
          <w:szCs w:val="22"/>
        </w:rPr>
      </w:pPr>
      <w:r w:rsidRPr="00181D10">
        <w:rPr>
          <w:rFonts w:cs="Arial"/>
          <w:b/>
          <w:color w:val="0070C0"/>
          <w:szCs w:val="22"/>
          <w:u w:val="single"/>
        </w:rPr>
        <w:t>General comments</w:t>
      </w:r>
    </w:p>
    <w:p w14:paraId="53638351" w14:textId="02F119A8" w:rsidR="00EC5800" w:rsidRDefault="00E611C5" w:rsidP="00DD0AE4">
      <w:pPr>
        <w:spacing w:after="0"/>
        <w:rPr>
          <w:rFonts w:cs="Arial"/>
          <w:szCs w:val="22"/>
        </w:rPr>
      </w:pPr>
      <w:r>
        <w:rPr>
          <w:rFonts w:cs="Arial"/>
          <w:szCs w:val="22"/>
        </w:rPr>
        <w:t>ICC recognises th</w:t>
      </w:r>
      <w:r w:rsidR="000E5A02">
        <w:rPr>
          <w:rFonts w:cs="Arial"/>
          <w:szCs w:val="22"/>
        </w:rPr>
        <w:t xml:space="preserve">at the release of </w:t>
      </w:r>
      <w:r w:rsidR="001C5559" w:rsidRPr="001C5559">
        <w:rPr>
          <w:rFonts w:cs="Arial"/>
          <w:szCs w:val="22"/>
        </w:rPr>
        <w:t xml:space="preserve">the </w:t>
      </w:r>
      <w:hyperlink r:id="rId12" w:history="1">
        <w:r w:rsidR="001C5559" w:rsidRPr="00E611C5">
          <w:rPr>
            <w:rStyle w:val="Hyperlnk"/>
            <w:rFonts w:cs="Arial"/>
            <w:szCs w:val="22"/>
          </w:rPr>
          <w:t>Commentary on the GloBE Rules</w:t>
        </w:r>
      </w:hyperlink>
      <w:r w:rsidR="001C5559" w:rsidRPr="001C5559">
        <w:rPr>
          <w:rFonts w:cs="Arial"/>
          <w:szCs w:val="22"/>
        </w:rPr>
        <w:t xml:space="preserve">, </w:t>
      </w:r>
      <w:r w:rsidR="000E5A02">
        <w:rPr>
          <w:rFonts w:cs="Arial"/>
          <w:szCs w:val="22"/>
        </w:rPr>
        <w:t xml:space="preserve">will be useful in providing </w:t>
      </w:r>
      <w:r w:rsidR="001C5559" w:rsidRPr="001C5559">
        <w:rPr>
          <w:rFonts w:cs="Arial"/>
          <w:szCs w:val="22"/>
        </w:rPr>
        <w:t>MNEs and governments with detailed and comprehensive technical guidance on the operation and intended outcomes under the rules</w:t>
      </w:r>
      <w:r w:rsidR="00A75EB4">
        <w:rPr>
          <w:rFonts w:cs="Arial"/>
          <w:szCs w:val="22"/>
        </w:rPr>
        <w:t xml:space="preserve">, and appreciates that the </w:t>
      </w:r>
      <w:r w:rsidR="00EC5800" w:rsidRPr="00EC5800">
        <w:rPr>
          <w:rFonts w:cs="Arial"/>
          <w:szCs w:val="22"/>
        </w:rPr>
        <w:t xml:space="preserve">GloBE Implementation Framework will facilitate the co-ordinated implementation and administration of the GloBE Rules. </w:t>
      </w:r>
    </w:p>
    <w:p w14:paraId="5538D5E5" w14:textId="77777777" w:rsidR="00EC5800" w:rsidRDefault="00EC5800" w:rsidP="00DD0AE4">
      <w:pPr>
        <w:spacing w:after="0"/>
        <w:rPr>
          <w:rFonts w:cs="Arial"/>
          <w:szCs w:val="22"/>
        </w:rPr>
      </w:pPr>
    </w:p>
    <w:p w14:paraId="53860E9D" w14:textId="77777777" w:rsidR="00D72537" w:rsidRPr="00181D10" w:rsidRDefault="00D72537" w:rsidP="00DD0AE4">
      <w:pPr>
        <w:spacing w:after="0"/>
        <w:contextualSpacing/>
        <w:rPr>
          <w:rFonts w:cs="Arial"/>
          <w:szCs w:val="22"/>
        </w:rPr>
      </w:pPr>
      <w:r w:rsidRPr="00181D10">
        <w:rPr>
          <w:rFonts w:cs="Arial"/>
          <w:szCs w:val="22"/>
        </w:rPr>
        <w:t>To this end, ICC provides the following general comments:</w:t>
      </w:r>
    </w:p>
    <w:p w14:paraId="2EDB0FAC" w14:textId="77777777" w:rsidR="00D72537" w:rsidRPr="00043EE8" w:rsidRDefault="00D72537" w:rsidP="00DD0AE4">
      <w:pPr>
        <w:pStyle w:val="Liststycke"/>
        <w:spacing w:after="0"/>
        <w:contextualSpacing w:val="0"/>
        <w:rPr>
          <w:szCs w:val="22"/>
        </w:rPr>
      </w:pPr>
    </w:p>
    <w:p w14:paraId="60F5F17A" w14:textId="0BDCF9D6" w:rsidR="003D1069" w:rsidRPr="00387E6A" w:rsidRDefault="006E0DBA" w:rsidP="00DD0AE4">
      <w:pPr>
        <w:pStyle w:val="Liststycke"/>
        <w:numPr>
          <w:ilvl w:val="0"/>
          <w:numId w:val="7"/>
        </w:numPr>
        <w:spacing w:after="0"/>
        <w:contextualSpacing w:val="0"/>
        <w:rPr>
          <w:rFonts w:ascii="Calibri" w:eastAsia="Times New Roman" w:hAnsi="Calibri"/>
          <w:color w:val="auto"/>
          <w:szCs w:val="22"/>
          <w:lang w:eastAsia="zh-CN"/>
        </w:rPr>
      </w:pPr>
      <w:r>
        <w:rPr>
          <w:rFonts w:eastAsia="Times New Roman"/>
        </w:rPr>
        <w:t xml:space="preserve">ICC emphasises the importance of business engagement </w:t>
      </w:r>
      <w:r w:rsidR="003D1069">
        <w:rPr>
          <w:rFonts w:eastAsia="Times New Roman"/>
        </w:rPr>
        <w:t>in designing the implementing structure of the</w:t>
      </w:r>
      <w:r w:rsidR="00652C0A">
        <w:rPr>
          <w:rFonts w:eastAsia="Times New Roman"/>
        </w:rPr>
        <w:t xml:space="preserve"> GloBE </w:t>
      </w:r>
      <w:r w:rsidR="003D1069">
        <w:rPr>
          <w:rFonts w:eastAsia="Times New Roman"/>
        </w:rPr>
        <w:t>rules in order to ensure that complexity in the rules is reduced wherever possible to help both administration by tax authorities and compliance by taxpayers</w:t>
      </w:r>
      <w:r w:rsidR="00652C0A">
        <w:rPr>
          <w:rFonts w:eastAsia="Times New Roman"/>
        </w:rPr>
        <w:t>.</w:t>
      </w:r>
    </w:p>
    <w:p w14:paraId="1F65320F" w14:textId="77777777" w:rsidR="00387E6A" w:rsidRDefault="00387E6A" w:rsidP="00387E6A">
      <w:pPr>
        <w:pStyle w:val="Liststycke"/>
        <w:spacing w:after="0"/>
        <w:contextualSpacing w:val="0"/>
        <w:rPr>
          <w:rFonts w:ascii="Calibri" w:eastAsia="Times New Roman" w:hAnsi="Calibri"/>
          <w:color w:val="auto"/>
          <w:szCs w:val="22"/>
          <w:lang w:eastAsia="zh-CN"/>
        </w:rPr>
      </w:pPr>
    </w:p>
    <w:p w14:paraId="563DCDCE" w14:textId="3B97C518" w:rsidR="003D1069" w:rsidRDefault="00AD5CEF" w:rsidP="00DD0AE4">
      <w:pPr>
        <w:pStyle w:val="Liststycke"/>
        <w:numPr>
          <w:ilvl w:val="0"/>
          <w:numId w:val="7"/>
        </w:numPr>
        <w:spacing w:after="0"/>
        <w:contextualSpacing w:val="0"/>
        <w:rPr>
          <w:rFonts w:eastAsia="Times New Roman"/>
        </w:rPr>
      </w:pPr>
      <w:r>
        <w:rPr>
          <w:rFonts w:eastAsia="Times New Roman"/>
        </w:rPr>
        <w:t xml:space="preserve">In view of the current geopolitical and economic context, ICC believes that </w:t>
      </w:r>
      <w:r w:rsidR="003D1069">
        <w:rPr>
          <w:rFonts w:eastAsia="Times New Roman"/>
        </w:rPr>
        <w:t xml:space="preserve">the Inclusive Framework should carefully consider whether </w:t>
      </w:r>
      <w:r w:rsidR="00DF4E25">
        <w:rPr>
          <w:rFonts w:eastAsia="Times New Roman"/>
        </w:rPr>
        <w:t xml:space="preserve">this is an appropriate time </w:t>
      </w:r>
      <w:r w:rsidR="003D1069">
        <w:rPr>
          <w:rFonts w:eastAsia="Times New Roman"/>
        </w:rPr>
        <w:t xml:space="preserve">to impose </w:t>
      </w:r>
      <w:r w:rsidR="00F13AEE">
        <w:rPr>
          <w:rFonts w:eastAsia="Times New Roman"/>
        </w:rPr>
        <w:t xml:space="preserve">increased taxes, which could </w:t>
      </w:r>
      <w:r w:rsidR="003D1069">
        <w:rPr>
          <w:rFonts w:eastAsia="Times New Roman"/>
        </w:rPr>
        <w:t>depress investment, or whether it would be more prudent to pause, reflect and delay implementation.</w:t>
      </w:r>
    </w:p>
    <w:p w14:paraId="5F69E4A2" w14:textId="77777777" w:rsidR="00387E6A" w:rsidRPr="00387E6A" w:rsidRDefault="00387E6A" w:rsidP="00387E6A">
      <w:pPr>
        <w:pStyle w:val="Liststycke"/>
        <w:rPr>
          <w:rFonts w:eastAsia="Times New Roman"/>
        </w:rPr>
      </w:pPr>
    </w:p>
    <w:p w14:paraId="1C0D34AD" w14:textId="5BB10109" w:rsidR="003D1069" w:rsidRDefault="00F13AEE" w:rsidP="00DD0AE4">
      <w:pPr>
        <w:pStyle w:val="Liststycke"/>
        <w:numPr>
          <w:ilvl w:val="0"/>
          <w:numId w:val="7"/>
        </w:numPr>
        <w:spacing w:after="0"/>
        <w:contextualSpacing w:val="0"/>
        <w:rPr>
          <w:rFonts w:eastAsia="Times New Roman"/>
        </w:rPr>
      </w:pPr>
      <w:r>
        <w:rPr>
          <w:rFonts w:eastAsia="Times New Roman"/>
        </w:rPr>
        <w:t>ICC further notes that it</w:t>
      </w:r>
      <w:r w:rsidR="003D1069">
        <w:rPr>
          <w:rFonts w:eastAsia="Times New Roman"/>
        </w:rPr>
        <w:t xml:space="preserve"> is important that those jurisdictions that choose to adopt a minimum tax, do so in a consistent and coordinated manner.  For a successful implementation for tax authorities and taxpayers alike, it is essential that the implementing legislation and guidance is clear, unambiguous, administrable and consistently applied.</w:t>
      </w:r>
    </w:p>
    <w:p w14:paraId="106F4361" w14:textId="77777777" w:rsidR="00387E6A" w:rsidRPr="00387E6A" w:rsidRDefault="00387E6A" w:rsidP="00387E6A">
      <w:pPr>
        <w:pStyle w:val="Liststycke"/>
        <w:rPr>
          <w:rFonts w:eastAsia="Times New Roman"/>
        </w:rPr>
      </w:pPr>
    </w:p>
    <w:p w14:paraId="28EA2491" w14:textId="534D5414" w:rsidR="00F156EC" w:rsidRDefault="00053B34" w:rsidP="00DD0AE4">
      <w:pPr>
        <w:pStyle w:val="Liststycke"/>
        <w:numPr>
          <w:ilvl w:val="0"/>
          <w:numId w:val="7"/>
        </w:numPr>
        <w:spacing w:after="0"/>
        <w:contextualSpacing w:val="0"/>
        <w:rPr>
          <w:rFonts w:eastAsia="Times New Roman"/>
        </w:rPr>
      </w:pPr>
      <w:r>
        <w:rPr>
          <w:rFonts w:eastAsia="Times New Roman"/>
        </w:rPr>
        <w:t>ICC members are</w:t>
      </w:r>
      <w:r w:rsidR="003D1069">
        <w:rPr>
          <w:rFonts w:eastAsia="Times New Roman"/>
        </w:rPr>
        <w:t xml:space="preserve"> concerned that </w:t>
      </w:r>
      <w:r>
        <w:rPr>
          <w:rFonts w:eastAsia="Times New Roman"/>
        </w:rPr>
        <w:t xml:space="preserve">already at this stage there seems to be a </w:t>
      </w:r>
      <w:r w:rsidR="003D1069">
        <w:rPr>
          <w:rFonts w:eastAsia="Times New Roman"/>
        </w:rPr>
        <w:t xml:space="preserve">lack of coordination regarding the effective date from which countries </w:t>
      </w:r>
      <w:r w:rsidR="001F7708">
        <w:rPr>
          <w:rFonts w:eastAsia="Times New Roman"/>
        </w:rPr>
        <w:t>will adopt</w:t>
      </w:r>
      <w:r w:rsidR="003D1069">
        <w:rPr>
          <w:rFonts w:eastAsia="Times New Roman"/>
        </w:rPr>
        <w:t xml:space="preserve"> these rules (</w:t>
      </w:r>
      <w:r w:rsidR="00AD2F95">
        <w:rPr>
          <w:rFonts w:eastAsia="Times New Roman"/>
        </w:rPr>
        <w:t>e.g.,</w:t>
      </w:r>
      <w:r w:rsidR="003D1069">
        <w:rPr>
          <w:rFonts w:eastAsia="Times New Roman"/>
        </w:rPr>
        <w:t xml:space="preserve"> EU, UK, Switzerland).  </w:t>
      </w:r>
      <w:r w:rsidR="001F7708">
        <w:rPr>
          <w:rFonts w:eastAsia="Times New Roman"/>
        </w:rPr>
        <w:t>ICC believes that a</w:t>
      </w:r>
      <w:r w:rsidR="003D1069">
        <w:rPr>
          <w:rFonts w:eastAsia="Times New Roman"/>
        </w:rPr>
        <w:t>n uncoordinated implementation date will give rise to double taxation and legal uncertainty and not result in a smooth adoption of what is a fundamental change in the international tax landscape.</w:t>
      </w:r>
      <w:r w:rsidR="002571E7">
        <w:rPr>
          <w:rFonts w:eastAsia="Times New Roman"/>
        </w:rPr>
        <w:t xml:space="preserve">  </w:t>
      </w:r>
    </w:p>
    <w:p w14:paraId="1225F154" w14:textId="77777777" w:rsidR="00387E6A" w:rsidRPr="00387E6A" w:rsidRDefault="00387E6A" w:rsidP="00387E6A">
      <w:pPr>
        <w:pStyle w:val="Liststycke"/>
        <w:rPr>
          <w:rFonts w:eastAsia="Times New Roman"/>
        </w:rPr>
      </w:pPr>
    </w:p>
    <w:p w14:paraId="6FEC22A8" w14:textId="50EEDD04" w:rsidR="00F156EC" w:rsidRDefault="002571E7" w:rsidP="00F156EC">
      <w:pPr>
        <w:pStyle w:val="Liststycke"/>
        <w:numPr>
          <w:ilvl w:val="0"/>
          <w:numId w:val="7"/>
        </w:numPr>
        <w:rPr>
          <w:rFonts w:eastAsia="Times New Roman"/>
        </w:rPr>
      </w:pPr>
      <w:r w:rsidRPr="00F156EC">
        <w:rPr>
          <w:rFonts w:eastAsia="Times New Roman"/>
        </w:rPr>
        <w:lastRenderedPageBreak/>
        <w:t>It is also unclear what dispute resolution mechanisms would be in place</w:t>
      </w:r>
      <w:r w:rsidR="00F156EC">
        <w:rPr>
          <w:rFonts w:eastAsia="Times New Roman"/>
        </w:rPr>
        <w:t xml:space="preserve"> for MNEs</w:t>
      </w:r>
      <w:r w:rsidR="0026590E">
        <w:rPr>
          <w:rFonts w:eastAsia="Times New Roman"/>
        </w:rPr>
        <w:t xml:space="preserve"> where </w:t>
      </w:r>
      <w:r w:rsidR="00F156EC" w:rsidRPr="00F156EC">
        <w:rPr>
          <w:rFonts w:eastAsia="Times New Roman"/>
        </w:rPr>
        <w:t>some countries</w:t>
      </w:r>
      <w:r w:rsidR="0026590E">
        <w:rPr>
          <w:rFonts w:eastAsia="Times New Roman"/>
        </w:rPr>
        <w:t xml:space="preserve"> have started implementing the rules </w:t>
      </w:r>
      <w:r w:rsidR="006F3628">
        <w:rPr>
          <w:rFonts w:eastAsia="Times New Roman"/>
        </w:rPr>
        <w:t>and other countries where they have operations</w:t>
      </w:r>
      <w:r w:rsidR="00813821">
        <w:rPr>
          <w:rFonts w:eastAsia="Times New Roman"/>
        </w:rPr>
        <w:t>, who may implement at a later date</w:t>
      </w:r>
      <w:r w:rsidR="00F156EC" w:rsidRPr="00F156EC">
        <w:rPr>
          <w:rFonts w:eastAsia="Times New Roman"/>
        </w:rPr>
        <w:t xml:space="preserve"> (e.g., where some of their subsidiaries are in 2023 implementing countries, and others are in 2024 implementing countries).</w:t>
      </w:r>
    </w:p>
    <w:p w14:paraId="6F198C21" w14:textId="77777777" w:rsidR="00387E6A" w:rsidRPr="00387E6A" w:rsidRDefault="00387E6A" w:rsidP="00387E6A">
      <w:pPr>
        <w:pStyle w:val="Liststycke"/>
        <w:rPr>
          <w:rFonts w:eastAsia="Times New Roman"/>
        </w:rPr>
      </w:pPr>
    </w:p>
    <w:p w14:paraId="055CC023" w14:textId="33CD4DDD" w:rsidR="003D5805" w:rsidRPr="00387E6A" w:rsidRDefault="003D5805" w:rsidP="00DD0AE4">
      <w:pPr>
        <w:pStyle w:val="Liststycke"/>
        <w:numPr>
          <w:ilvl w:val="0"/>
          <w:numId w:val="7"/>
        </w:numPr>
        <w:spacing w:after="0"/>
        <w:contextualSpacing w:val="0"/>
        <w:rPr>
          <w:rFonts w:eastAsia="Times New Roman"/>
        </w:rPr>
      </w:pPr>
      <w:r>
        <w:rPr>
          <w:rFonts w:cs="Arial"/>
        </w:rPr>
        <w:t>ICC believes that t</w:t>
      </w:r>
      <w:r w:rsidRPr="00306CBF">
        <w:rPr>
          <w:rFonts w:cs="Arial"/>
        </w:rPr>
        <w:t>he proposed concept of having a peer review mechani</w:t>
      </w:r>
      <w:r>
        <w:rPr>
          <w:rFonts w:cs="Arial"/>
        </w:rPr>
        <w:t>sm</w:t>
      </w:r>
      <w:r w:rsidRPr="00306CBF">
        <w:rPr>
          <w:rFonts w:cs="Arial"/>
        </w:rPr>
        <w:t xml:space="preserve"> to secure consistent application of Pillar </w:t>
      </w:r>
      <w:r w:rsidR="002571E7">
        <w:rPr>
          <w:rFonts w:cs="Arial"/>
        </w:rPr>
        <w:t>Two</w:t>
      </w:r>
      <w:r w:rsidRPr="00306CBF">
        <w:rPr>
          <w:rFonts w:cs="Arial"/>
        </w:rPr>
        <w:t xml:space="preserve"> across implementing countries </w:t>
      </w:r>
      <w:r w:rsidR="00AD2F95" w:rsidRPr="00306CBF">
        <w:rPr>
          <w:rFonts w:cs="Arial"/>
        </w:rPr>
        <w:t>is inadequate</w:t>
      </w:r>
      <w:r w:rsidRPr="00306CBF">
        <w:rPr>
          <w:rFonts w:cs="Arial"/>
        </w:rPr>
        <w:t xml:space="preserve"> – taxpayers who are negatively impacted because of a cross-border dispute on the application of the GloBE rules </w:t>
      </w:r>
      <w:r w:rsidR="002571E7">
        <w:rPr>
          <w:rFonts w:cs="Arial"/>
        </w:rPr>
        <w:t xml:space="preserve">will </w:t>
      </w:r>
      <w:r w:rsidRPr="00306CBF">
        <w:rPr>
          <w:rFonts w:cs="Arial"/>
        </w:rPr>
        <w:t>have no obvious mechanism to resolve the dispute other than a peer review by their home tax authority</w:t>
      </w:r>
      <w:r>
        <w:rPr>
          <w:rFonts w:cs="Arial"/>
        </w:rPr>
        <w:t xml:space="preserve">. </w:t>
      </w:r>
    </w:p>
    <w:p w14:paraId="776C47CC" w14:textId="77777777" w:rsidR="00387E6A" w:rsidRPr="00387E6A" w:rsidRDefault="00387E6A" w:rsidP="00387E6A">
      <w:pPr>
        <w:pStyle w:val="Liststycke"/>
        <w:rPr>
          <w:rFonts w:eastAsia="Times New Roman"/>
        </w:rPr>
      </w:pPr>
    </w:p>
    <w:p w14:paraId="45F0D255" w14:textId="4732CB73" w:rsidR="003D1069" w:rsidRDefault="003D1069" w:rsidP="00DD0AE4">
      <w:pPr>
        <w:pStyle w:val="Liststycke"/>
        <w:numPr>
          <w:ilvl w:val="0"/>
          <w:numId w:val="7"/>
        </w:numPr>
        <w:spacing w:after="0"/>
        <w:contextualSpacing w:val="0"/>
        <w:rPr>
          <w:rFonts w:eastAsia="Times New Roman"/>
        </w:rPr>
      </w:pPr>
      <w:r>
        <w:rPr>
          <w:rFonts w:eastAsia="Times New Roman"/>
        </w:rPr>
        <w:t xml:space="preserve">The Inclusive Framework has issued model rules, </w:t>
      </w:r>
      <w:r w:rsidR="00724740">
        <w:rPr>
          <w:rFonts w:eastAsia="Times New Roman"/>
        </w:rPr>
        <w:t xml:space="preserve">the </w:t>
      </w:r>
      <w:r>
        <w:rPr>
          <w:rFonts w:eastAsia="Times New Roman"/>
        </w:rPr>
        <w:t xml:space="preserve">associated commentary and is now considering the implementation framework including administrative guidance.  The OECD Secretariat has issued a series of examples.  </w:t>
      </w:r>
      <w:r w:rsidR="009263E0">
        <w:rPr>
          <w:rFonts w:eastAsia="Times New Roman"/>
        </w:rPr>
        <w:t>ICC notes that j</w:t>
      </w:r>
      <w:r>
        <w:rPr>
          <w:rFonts w:eastAsia="Times New Roman"/>
        </w:rPr>
        <w:t xml:space="preserve">urisdictions will legislate the model rules but may not give legal effect to the commentary, examples or administrative guidance.  The legal standing of each of these elements, which together comprise the Pillar Two regime, needs to be carefully considered as part of the </w:t>
      </w:r>
      <w:r w:rsidR="009263E0">
        <w:rPr>
          <w:rFonts w:eastAsia="Times New Roman"/>
        </w:rPr>
        <w:t>I</w:t>
      </w:r>
      <w:r>
        <w:rPr>
          <w:rFonts w:eastAsia="Times New Roman"/>
        </w:rPr>
        <w:t xml:space="preserve">mplementation </w:t>
      </w:r>
      <w:r w:rsidR="009263E0">
        <w:rPr>
          <w:rFonts w:eastAsia="Times New Roman"/>
        </w:rPr>
        <w:t>F</w:t>
      </w:r>
      <w:r>
        <w:rPr>
          <w:rFonts w:eastAsia="Times New Roman"/>
        </w:rPr>
        <w:t xml:space="preserve">ramework. </w:t>
      </w:r>
    </w:p>
    <w:p w14:paraId="50DCA024" w14:textId="77777777" w:rsidR="00387E6A" w:rsidRPr="00387E6A" w:rsidRDefault="00387E6A" w:rsidP="00387E6A">
      <w:pPr>
        <w:pStyle w:val="Liststycke"/>
        <w:rPr>
          <w:rFonts w:eastAsia="Times New Roman"/>
        </w:rPr>
      </w:pPr>
    </w:p>
    <w:p w14:paraId="42C1E417" w14:textId="40257589" w:rsidR="003D1069" w:rsidRDefault="003D1069" w:rsidP="00DD0AE4">
      <w:pPr>
        <w:pStyle w:val="Liststycke"/>
        <w:numPr>
          <w:ilvl w:val="0"/>
          <w:numId w:val="7"/>
        </w:numPr>
        <w:spacing w:after="0"/>
        <w:contextualSpacing w:val="0"/>
        <w:rPr>
          <w:rFonts w:eastAsia="Times New Roman"/>
        </w:rPr>
      </w:pPr>
      <w:r>
        <w:rPr>
          <w:rFonts w:eastAsia="Times New Roman"/>
        </w:rPr>
        <w:t xml:space="preserve">In order </w:t>
      </w:r>
      <w:r w:rsidR="00D51A41">
        <w:rPr>
          <w:rFonts w:eastAsia="Times New Roman"/>
        </w:rPr>
        <w:t>to achieve</w:t>
      </w:r>
      <w:r>
        <w:rPr>
          <w:rFonts w:eastAsia="Times New Roman"/>
        </w:rPr>
        <w:t xml:space="preserve"> tax certainty, </w:t>
      </w:r>
      <w:r w:rsidR="00D51A41">
        <w:rPr>
          <w:rFonts w:eastAsia="Times New Roman"/>
        </w:rPr>
        <w:t xml:space="preserve">ICC believes that </w:t>
      </w:r>
      <w:r>
        <w:rPr>
          <w:rFonts w:eastAsia="Times New Roman"/>
        </w:rPr>
        <w:t xml:space="preserve">there needs to be a clear and transparent process, set out in the </w:t>
      </w:r>
      <w:r w:rsidR="00E1535B">
        <w:rPr>
          <w:rFonts w:eastAsia="Times New Roman"/>
        </w:rPr>
        <w:t>I</w:t>
      </w:r>
      <w:r>
        <w:rPr>
          <w:rFonts w:eastAsia="Times New Roman"/>
        </w:rPr>
        <w:t>mplement</w:t>
      </w:r>
      <w:r w:rsidR="00E1535B">
        <w:rPr>
          <w:rFonts w:eastAsia="Times New Roman"/>
        </w:rPr>
        <w:t>ation F</w:t>
      </w:r>
      <w:r>
        <w:rPr>
          <w:rFonts w:eastAsia="Times New Roman"/>
        </w:rPr>
        <w:t xml:space="preserve">ramework, to determine whether a regime is a qualified IIR and whether a tax is a Qualified Domestic Minimum </w:t>
      </w:r>
      <w:r w:rsidR="00D51A41">
        <w:rPr>
          <w:rFonts w:eastAsia="Times New Roman"/>
        </w:rPr>
        <w:t>T</w:t>
      </w:r>
      <w:r>
        <w:rPr>
          <w:rFonts w:eastAsia="Times New Roman"/>
        </w:rPr>
        <w:t>op-up Tax (QDMTT)</w:t>
      </w:r>
      <w:r w:rsidR="00387E6A">
        <w:rPr>
          <w:rFonts w:eastAsia="Times New Roman"/>
        </w:rPr>
        <w:t>.</w:t>
      </w:r>
    </w:p>
    <w:p w14:paraId="45B061D5" w14:textId="77777777" w:rsidR="00387E6A" w:rsidRPr="00387E6A" w:rsidRDefault="00387E6A" w:rsidP="00387E6A">
      <w:pPr>
        <w:pStyle w:val="Liststycke"/>
        <w:rPr>
          <w:rFonts w:eastAsia="Times New Roman"/>
        </w:rPr>
      </w:pPr>
    </w:p>
    <w:p w14:paraId="23581EB3" w14:textId="73E28F90" w:rsidR="003D1069" w:rsidRDefault="003D1069" w:rsidP="00DD0AE4">
      <w:pPr>
        <w:pStyle w:val="Liststycke"/>
        <w:numPr>
          <w:ilvl w:val="0"/>
          <w:numId w:val="7"/>
        </w:numPr>
        <w:spacing w:after="0"/>
        <w:contextualSpacing w:val="0"/>
        <w:rPr>
          <w:rFonts w:eastAsia="Times New Roman"/>
        </w:rPr>
      </w:pPr>
      <w:r>
        <w:rPr>
          <w:rFonts w:eastAsia="Times New Roman"/>
        </w:rPr>
        <w:t xml:space="preserve">The nature of the QDMTT and top-up tax paid under the UTPR need to be clarified to confirm </w:t>
      </w:r>
      <w:r w:rsidR="00D51A41">
        <w:rPr>
          <w:rFonts w:eastAsia="Times New Roman"/>
        </w:rPr>
        <w:t xml:space="preserve">that </w:t>
      </w:r>
      <w:r>
        <w:rPr>
          <w:rFonts w:eastAsia="Times New Roman"/>
        </w:rPr>
        <w:t xml:space="preserve">they are corporate income taxes and to provide certainty of treatment under tax treaties and foreign tax credit regimes.  The guidance needs to confirm </w:t>
      </w:r>
      <w:r w:rsidR="00652275">
        <w:rPr>
          <w:rFonts w:eastAsia="Times New Roman"/>
        </w:rPr>
        <w:t xml:space="preserve">that </w:t>
      </w:r>
      <w:r>
        <w:rPr>
          <w:rFonts w:eastAsia="Times New Roman"/>
        </w:rPr>
        <w:t>the QDMTT is a corporate income tax and provide clarity as to how such tax is collected and charged and</w:t>
      </w:r>
      <w:r w:rsidR="00652275">
        <w:rPr>
          <w:rFonts w:eastAsia="Times New Roman"/>
        </w:rPr>
        <w:t>,</w:t>
      </w:r>
      <w:r>
        <w:rPr>
          <w:rFonts w:eastAsia="Times New Roman"/>
        </w:rPr>
        <w:t xml:space="preserve"> therefore</w:t>
      </w:r>
      <w:r w:rsidR="00652275">
        <w:rPr>
          <w:rFonts w:eastAsia="Times New Roman"/>
        </w:rPr>
        <w:t>,</w:t>
      </w:r>
      <w:r>
        <w:rPr>
          <w:rFonts w:eastAsia="Times New Roman"/>
        </w:rPr>
        <w:t xml:space="preserve"> that such tax will be viewed as a covered tax under tax treaties</w:t>
      </w:r>
      <w:r w:rsidR="00387E6A">
        <w:rPr>
          <w:rFonts w:eastAsia="Times New Roman"/>
        </w:rPr>
        <w:t>.</w:t>
      </w:r>
    </w:p>
    <w:p w14:paraId="5459064F" w14:textId="77777777" w:rsidR="00387E6A" w:rsidRPr="00387E6A" w:rsidRDefault="00387E6A" w:rsidP="00387E6A">
      <w:pPr>
        <w:pStyle w:val="Liststycke"/>
        <w:rPr>
          <w:rFonts w:eastAsia="Times New Roman"/>
        </w:rPr>
      </w:pPr>
    </w:p>
    <w:p w14:paraId="069E726D" w14:textId="5B927B8B" w:rsidR="003D1069" w:rsidRDefault="00652275" w:rsidP="00DD0AE4">
      <w:pPr>
        <w:pStyle w:val="Liststycke"/>
        <w:numPr>
          <w:ilvl w:val="0"/>
          <w:numId w:val="7"/>
        </w:numPr>
        <w:spacing w:after="0"/>
        <w:contextualSpacing w:val="0"/>
        <w:rPr>
          <w:rFonts w:eastAsia="Times New Roman"/>
        </w:rPr>
      </w:pPr>
      <w:r>
        <w:rPr>
          <w:rFonts w:eastAsia="Times New Roman"/>
        </w:rPr>
        <w:t xml:space="preserve">ICC </w:t>
      </w:r>
      <w:r w:rsidR="003D1069">
        <w:rPr>
          <w:rFonts w:eastAsia="Times New Roman"/>
        </w:rPr>
        <w:t>welcome</w:t>
      </w:r>
      <w:r>
        <w:rPr>
          <w:rFonts w:eastAsia="Times New Roman"/>
        </w:rPr>
        <w:t>s</w:t>
      </w:r>
      <w:r w:rsidR="003D1069">
        <w:rPr>
          <w:rFonts w:eastAsia="Times New Roman"/>
        </w:rPr>
        <w:t xml:space="preserve"> the approach that MNEs will be subject to one central and standardised filing requirement for their Pillar Two return globally, in the Ultimate Parent Entity’s (UPE) jurisdiction, in cases in which that jurisdiction has a bilateral or multilateral agreement or arrangement in effect to automatically exchange on a confidential basis the GloBE Information Return with the jurisdiction of the Constituent Entity.  </w:t>
      </w:r>
    </w:p>
    <w:p w14:paraId="787D89BB" w14:textId="77777777" w:rsidR="00387E6A" w:rsidRPr="00387E6A" w:rsidRDefault="00387E6A" w:rsidP="00387E6A">
      <w:pPr>
        <w:pStyle w:val="Liststycke"/>
        <w:rPr>
          <w:rFonts w:eastAsia="Times New Roman"/>
        </w:rPr>
      </w:pPr>
    </w:p>
    <w:p w14:paraId="07987852" w14:textId="4891021F" w:rsidR="003D1069" w:rsidRDefault="00D14510" w:rsidP="00DD0AE4">
      <w:pPr>
        <w:pStyle w:val="Liststycke"/>
        <w:numPr>
          <w:ilvl w:val="0"/>
          <w:numId w:val="7"/>
        </w:numPr>
        <w:spacing w:after="0"/>
        <w:contextualSpacing w:val="0"/>
        <w:rPr>
          <w:rFonts w:eastAsia="Times New Roman"/>
        </w:rPr>
      </w:pPr>
      <w:r>
        <w:rPr>
          <w:rFonts w:eastAsia="Times New Roman"/>
        </w:rPr>
        <w:t>ICC notes that t</w:t>
      </w:r>
      <w:r w:rsidR="003D1069">
        <w:rPr>
          <w:rFonts w:eastAsia="Times New Roman"/>
        </w:rPr>
        <w:t xml:space="preserve">he inclusion of broad, simple, safe harbours, are vital to the administrability of the GloBE rules and to the ability of MNEs to manage the overwhelming complexity and additional compliance posed by the rules. </w:t>
      </w:r>
    </w:p>
    <w:p w14:paraId="186F281F" w14:textId="77777777" w:rsidR="00387E6A" w:rsidRPr="00387E6A" w:rsidRDefault="00387E6A" w:rsidP="00387E6A">
      <w:pPr>
        <w:pStyle w:val="Liststycke"/>
        <w:rPr>
          <w:rFonts w:eastAsia="Times New Roman"/>
        </w:rPr>
      </w:pPr>
    </w:p>
    <w:p w14:paraId="7F4CA885" w14:textId="6AF57F78" w:rsidR="003D1069" w:rsidRPr="00387E6A" w:rsidRDefault="003D1069" w:rsidP="00DD0AE4">
      <w:pPr>
        <w:numPr>
          <w:ilvl w:val="0"/>
          <w:numId w:val="7"/>
        </w:numPr>
        <w:spacing w:after="0"/>
        <w:jc w:val="both"/>
        <w:rPr>
          <w:rFonts w:eastAsia="Times New Roman"/>
          <w:sz w:val="20"/>
          <w:szCs w:val="20"/>
        </w:rPr>
      </w:pPr>
      <w:r>
        <w:rPr>
          <w:rFonts w:eastAsia="Times New Roman"/>
        </w:rPr>
        <w:t xml:space="preserve">The Pillar Two rules will require significant changes to tax and financial reporting systems. These changes will need to be in place shortly after the commencement date as businesses will need to reflect the impact of the new rules in their quarterly financial reports. Such system changes are costly to implement and take significant time to put in place.  This is especially so as there are many uncertainties yet to be clarified in the rules, and without those clarifications, it is not possible to commence work on designing the necessary modifications to business IT systems.  The effective date of January 2023 </w:t>
      </w:r>
      <w:r w:rsidR="001F4691">
        <w:rPr>
          <w:rFonts w:eastAsia="Times New Roman"/>
        </w:rPr>
        <w:t>could undermine</w:t>
      </w:r>
      <w:r>
        <w:rPr>
          <w:rFonts w:eastAsia="Times New Roman"/>
        </w:rPr>
        <w:t xml:space="preserve"> successful implementation by tax authorities and companies alike</w:t>
      </w:r>
      <w:r w:rsidR="00733A16">
        <w:rPr>
          <w:rFonts w:eastAsia="Times New Roman"/>
        </w:rPr>
        <w:t>.</w:t>
      </w:r>
      <w:r>
        <w:rPr>
          <w:rFonts w:eastAsia="Times New Roman"/>
        </w:rPr>
        <w:t xml:space="preserve">  </w:t>
      </w:r>
    </w:p>
    <w:p w14:paraId="227C7BD9" w14:textId="77777777" w:rsidR="00387E6A" w:rsidRDefault="00387E6A" w:rsidP="00387E6A">
      <w:pPr>
        <w:pStyle w:val="Liststycke"/>
        <w:rPr>
          <w:rFonts w:eastAsia="Times New Roman"/>
          <w:sz w:val="20"/>
          <w:szCs w:val="20"/>
        </w:rPr>
      </w:pPr>
    </w:p>
    <w:p w14:paraId="3AE9E224" w14:textId="467EA9A8" w:rsidR="003D1069" w:rsidRPr="00387E6A" w:rsidRDefault="00D133CC" w:rsidP="00DD0AE4">
      <w:pPr>
        <w:pStyle w:val="Liststycke"/>
        <w:numPr>
          <w:ilvl w:val="0"/>
          <w:numId w:val="7"/>
        </w:numPr>
        <w:spacing w:after="0"/>
        <w:contextualSpacing w:val="0"/>
        <w:rPr>
          <w:rFonts w:eastAsia="Times New Roman"/>
          <w:szCs w:val="22"/>
        </w:rPr>
      </w:pPr>
      <w:r>
        <w:rPr>
          <w:rFonts w:eastAsia="Times New Roman"/>
        </w:rPr>
        <w:t>Furthermore, i</w:t>
      </w:r>
      <w:r w:rsidR="003D1069">
        <w:rPr>
          <w:rFonts w:eastAsia="Times New Roman"/>
        </w:rPr>
        <w:t>n order to minimise tax disputes and double taxation, it is vital that there are strong and binding dispute prevention</w:t>
      </w:r>
      <w:r w:rsidR="003D1069">
        <w:rPr>
          <w:rFonts w:eastAsia="Times New Roman"/>
          <w:color w:val="FF0000"/>
        </w:rPr>
        <w:t xml:space="preserve"> </w:t>
      </w:r>
      <w:r w:rsidR="003D1069">
        <w:rPr>
          <w:rFonts w:eastAsia="Times New Roman"/>
        </w:rPr>
        <w:t xml:space="preserve">and resolution mechanisms adopted as part of the </w:t>
      </w:r>
      <w:r>
        <w:rPr>
          <w:rFonts w:eastAsia="Times New Roman"/>
        </w:rPr>
        <w:t>I</w:t>
      </w:r>
      <w:r w:rsidR="003D1069">
        <w:rPr>
          <w:rFonts w:eastAsia="Times New Roman"/>
        </w:rPr>
        <w:t xml:space="preserve">mplementation </w:t>
      </w:r>
      <w:r>
        <w:rPr>
          <w:rFonts w:eastAsia="Times New Roman"/>
        </w:rPr>
        <w:t>F</w:t>
      </w:r>
      <w:r w:rsidR="003D1069">
        <w:rPr>
          <w:rFonts w:eastAsia="Times New Roman"/>
        </w:rPr>
        <w:t>ramework.  Without timely resolution of disputes which could arise from different approaches to implementation, or differing interpretations adopted by jurisdictions, tax uncertainty will arise.  Tax uncertainty puts at risk investment and job creation.</w:t>
      </w:r>
    </w:p>
    <w:p w14:paraId="179B6CAE" w14:textId="77777777" w:rsidR="00387E6A" w:rsidRPr="00387E6A" w:rsidRDefault="00387E6A" w:rsidP="00387E6A">
      <w:pPr>
        <w:pStyle w:val="Liststycke"/>
        <w:rPr>
          <w:rFonts w:eastAsia="Times New Roman"/>
          <w:szCs w:val="22"/>
        </w:rPr>
      </w:pPr>
    </w:p>
    <w:p w14:paraId="026FD079" w14:textId="17C6D1EB" w:rsidR="004934A2" w:rsidRDefault="004934A2" w:rsidP="004934A2">
      <w:pPr>
        <w:pStyle w:val="Liststycke"/>
        <w:numPr>
          <w:ilvl w:val="0"/>
          <w:numId w:val="7"/>
        </w:numPr>
        <w:spacing w:after="0"/>
        <w:contextualSpacing w:val="0"/>
        <w:rPr>
          <w:rFonts w:cs="Arial"/>
        </w:rPr>
      </w:pPr>
      <w:r w:rsidRPr="00306CBF">
        <w:rPr>
          <w:rFonts w:cs="Arial"/>
        </w:rPr>
        <w:t xml:space="preserve">The Pillar Two rules do not contain </w:t>
      </w:r>
      <w:r w:rsidR="000A4152">
        <w:rPr>
          <w:rFonts w:cs="Arial"/>
        </w:rPr>
        <w:t xml:space="preserve">specific </w:t>
      </w:r>
      <w:r w:rsidRPr="00306CBF">
        <w:rPr>
          <w:rFonts w:cs="Arial"/>
        </w:rPr>
        <w:t xml:space="preserve">guidance on binding dispute prevention/resolution, which is in stark contrast to Pillar One, where this has been central.  </w:t>
      </w:r>
      <w:r>
        <w:rPr>
          <w:rFonts w:cs="Arial"/>
        </w:rPr>
        <w:t>Tax administrations</w:t>
      </w:r>
      <w:r w:rsidRPr="00306CBF">
        <w:rPr>
          <w:rFonts w:cs="Arial"/>
        </w:rPr>
        <w:t xml:space="preserve"> </w:t>
      </w:r>
      <w:r>
        <w:rPr>
          <w:rFonts w:cs="Arial"/>
        </w:rPr>
        <w:t xml:space="preserve">may assume </w:t>
      </w:r>
      <w:r w:rsidRPr="00306CBF">
        <w:rPr>
          <w:rFonts w:cs="Arial"/>
        </w:rPr>
        <w:t xml:space="preserve">that dispute resolution is not needed </w:t>
      </w:r>
      <w:r w:rsidR="003C51EB">
        <w:rPr>
          <w:rFonts w:cs="Arial"/>
        </w:rPr>
        <w:t>due to the coordinated nature of t</w:t>
      </w:r>
      <w:r w:rsidRPr="00306CBF">
        <w:rPr>
          <w:rFonts w:cs="Arial"/>
        </w:rPr>
        <w:t>he Model Rules</w:t>
      </w:r>
      <w:r w:rsidR="003C51EB">
        <w:rPr>
          <w:rFonts w:cs="Arial"/>
        </w:rPr>
        <w:t>,</w:t>
      </w:r>
      <w:r>
        <w:rPr>
          <w:rFonts w:cs="Arial"/>
        </w:rPr>
        <w:t xml:space="preserve"> however, the business community strongly </w:t>
      </w:r>
      <w:r w:rsidR="00FF4413">
        <w:rPr>
          <w:rFonts w:cs="Arial"/>
        </w:rPr>
        <w:t>reiterates the need for robust</w:t>
      </w:r>
      <w:r>
        <w:rPr>
          <w:rFonts w:cs="Arial"/>
        </w:rPr>
        <w:t xml:space="preserve"> dispute prevention/resolution mechanisms </w:t>
      </w:r>
      <w:r w:rsidR="001F6D14">
        <w:rPr>
          <w:rFonts w:cs="Arial"/>
        </w:rPr>
        <w:t xml:space="preserve">particularly </w:t>
      </w:r>
      <w:r w:rsidR="007B322F">
        <w:rPr>
          <w:rFonts w:cs="Arial"/>
        </w:rPr>
        <w:t xml:space="preserve">given the </w:t>
      </w:r>
      <w:r w:rsidR="000A4152">
        <w:rPr>
          <w:rFonts w:cs="Arial"/>
        </w:rPr>
        <w:t>administrative complexity of the current rules and potential differences in interpretation</w:t>
      </w:r>
      <w:r>
        <w:rPr>
          <w:rFonts w:cs="Arial"/>
        </w:rPr>
        <w:t>.</w:t>
      </w:r>
    </w:p>
    <w:p w14:paraId="169D5D78" w14:textId="77777777" w:rsidR="004934A2" w:rsidRDefault="004934A2" w:rsidP="004934A2">
      <w:pPr>
        <w:pStyle w:val="Liststycke"/>
        <w:rPr>
          <w:rFonts w:cs="Arial"/>
        </w:rPr>
      </w:pPr>
    </w:p>
    <w:p w14:paraId="75FEA4CE" w14:textId="77777777" w:rsidR="00C72C90" w:rsidRDefault="00C72C90" w:rsidP="00C72C90">
      <w:pPr>
        <w:pStyle w:val="Liststycke"/>
        <w:numPr>
          <w:ilvl w:val="0"/>
          <w:numId w:val="7"/>
        </w:numPr>
        <w:spacing w:after="0"/>
        <w:contextualSpacing w:val="0"/>
        <w:rPr>
          <w:rFonts w:eastAsia="Times New Roman"/>
        </w:rPr>
      </w:pPr>
      <w:r>
        <w:rPr>
          <w:rFonts w:eastAsia="Times New Roman"/>
        </w:rPr>
        <w:t>Pillars One and Two have been adopted by the Inclusive Framework as a political package.  It is unclear how interdependencies with Pillar One will be managed if countries adopt Pillar two first.  Accordingly, the guidance needs to clearly set out how Pillar One interacts with Pillar Two and the impact on the determination of the minimum effective tax rate.</w:t>
      </w:r>
    </w:p>
    <w:p w14:paraId="783074D2" w14:textId="77777777" w:rsidR="00C72C90" w:rsidRPr="00306CBF" w:rsidRDefault="00C72C90" w:rsidP="004934A2">
      <w:pPr>
        <w:pStyle w:val="Liststycke"/>
        <w:rPr>
          <w:rFonts w:cs="Arial"/>
        </w:rPr>
      </w:pPr>
    </w:p>
    <w:p w14:paraId="2E178CC0" w14:textId="7FE11BCF" w:rsidR="004934A2" w:rsidRDefault="004934A2" w:rsidP="004934A2">
      <w:pPr>
        <w:pStyle w:val="Liststycke"/>
        <w:numPr>
          <w:ilvl w:val="0"/>
          <w:numId w:val="7"/>
        </w:numPr>
        <w:spacing w:after="0"/>
        <w:contextualSpacing w:val="0"/>
        <w:rPr>
          <w:rFonts w:cs="Arial"/>
        </w:rPr>
      </w:pPr>
      <w:r>
        <w:rPr>
          <w:rFonts w:cs="Arial"/>
        </w:rPr>
        <w:t>ICC members believe that t</w:t>
      </w:r>
      <w:r w:rsidRPr="00306CBF">
        <w:rPr>
          <w:rFonts w:cs="Arial"/>
        </w:rPr>
        <w:t xml:space="preserve">he examples </w:t>
      </w:r>
      <w:r>
        <w:rPr>
          <w:rFonts w:cs="Arial"/>
        </w:rPr>
        <w:t xml:space="preserve">provided are </w:t>
      </w:r>
      <w:r w:rsidR="00AD2F95" w:rsidRPr="00306CBF">
        <w:rPr>
          <w:rFonts w:cs="Arial"/>
        </w:rPr>
        <w:t>inadequate and</w:t>
      </w:r>
      <w:r w:rsidRPr="00306CBF">
        <w:rPr>
          <w:rFonts w:cs="Arial"/>
        </w:rPr>
        <w:t xml:space="preserve"> have been caveated as not being part of the </w:t>
      </w:r>
      <w:r>
        <w:rPr>
          <w:rFonts w:cs="Arial"/>
        </w:rPr>
        <w:t>C</w:t>
      </w:r>
      <w:r w:rsidRPr="00306CBF">
        <w:rPr>
          <w:rFonts w:cs="Arial"/>
        </w:rPr>
        <w:t>ommentary</w:t>
      </w:r>
      <w:r>
        <w:rPr>
          <w:rFonts w:cs="Arial"/>
        </w:rPr>
        <w:t>.  It is</w:t>
      </w:r>
      <w:r w:rsidR="001F6D14">
        <w:rPr>
          <w:rFonts w:cs="Arial"/>
        </w:rPr>
        <w:t xml:space="preserve">, however, </w:t>
      </w:r>
      <w:r>
        <w:rPr>
          <w:rFonts w:cs="Arial"/>
        </w:rPr>
        <w:t>imperative to have agreed examples o</w:t>
      </w:r>
      <w:r w:rsidRPr="00306CBF">
        <w:rPr>
          <w:rFonts w:cs="Arial"/>
        </w:rPr>
        <w:t xml:space="preserve">f how the rules </w:t>
      </w:r>
      <w:r>
        <w:rPr>
          <w:rFonts w:cs="Arial"/>
        </w:rPr>
        <w:t xml:space="preserve">will apply in practice. </w:t>
      </w:r>
    </w:p>
    <w:p w14:paraId="587F6183" w14:textId="77777777" w:rsidR="004934A2" w:rsidRPr="009329E5" w:rsidRDefault="004934A2" w:rsidP="004934A2">
      <w:pPr>
        <w:pStyle w:val="Liststycke"/>
        <w:rPr>
          <w:rFonts w:cs="Arial"/>
        </w:rPr>
      </w:pPr>
    </w:p>
    <w:p w14:paraId="29CCCE89" w14:textId="77777777" w:rsidR="004934A2" w:rsidRDefault="004934A2" w:rsidP="004934A2">
      <w:pPr>
        <w:pStyle w:val="Liststycke"/>
        <w:numPr>
          <w:ilvl w:val="0"/>
          <w:numId w:val="7"/>
        </w:numPr>
        <w:spacing w:after="0"/>
        <w:contextualSpacing w:val="0"/>
        <w:rPr>
          <w:rFonts w:cs="Arial"/>
        </w:rPr>
      </w:pPr>
      <w:r w:rsidRPr="00306CBF">
        <w:rPr>
          <w:rFonts w:cs="Arial"/>
        </w:rPr>
        <w:t xml:space="preserve">The risk of double taxation is </w:t>
      </w:r>
      <w:r>
        <w:rPr>
          <w:rFonts w:cs="Arial"/>
        </w:rPr>
        <w:t xml:space="preserve">increased significantly </w:t>
      </w:r>
      <w:r w:rsidRPr="00306CBF">
        <w:rPr>
          <w:rFonts w:cs="Arial"/>
        </w:rPr>
        <w:t>with th</w:t>
      </w:r>
      <w:r>
        <w:rPr>
          <w:rFonts w:cs="Arial"/>
        </w:rPr>
        <w:t>e current</w:t>
      </w:r>
      <w:r w:rsidRPr="00306CBF">
        <w:rPr>
          <w:rFonts w:cs="Arial"/>
        </w:rPr>
        <w:t xml:space="preserve"> approach, as double tax treaties are thought not to apply to the IIR, so </w:t>
      </w:r>
      <w:r>
        <w:rPr>
          <w:rFonts w:cs="Arial"/>
        </w:rPr>
        <w:t xml:space="preserve">it is therefore unclear </w:t>
      </w:r>
      <w:r w:rsidRPr="00306CBF">
        <w:rPr>
          <w:rFonts w:cs="Arial"/>
        </w:rPr>
        <w:t>that there is any access to multilateral dispute res</w:t>
      </w:r>
      <w:r>
        <w:rPr>
          <w:rFonts w:cs="Arial"/>
        </w:rPr>
        <w:t>olution</w:t>
      </w:r>
      <w:r w:rsidRPr="00306CBF">
        <w:rPr>
          <w:rFonts w:cs="Arial"/>
        </w:rPr>
        <w:t xml:space="preserve"> via the treaty frameworks.</w:t>
      </w:r>
    </w:p>
    <w:p w14:paraId="311C1F7C" w14:textId="77777777" w:rsidR="004934A2" w:rsidRPr="009329E5" w:rsidRDefault="004934A2" w:rsidP="004934A2">
      <w:pPr>
        <w:pStyle w:val="Liststycke"/>
        <w:rPr>
          <w:rFonts w:cs="Arial"/>
        </w:rPr>
      </w:pPr>
    </w:p>
    <w:p w14:paraId="1EF096FD" w14:textId="77777777" w:rsidR="004934A2" w:rsidRDefault="004934A2" w:rsidP="004934A2">
      <w:pPr>
        <w:pStyle w:val="Liststycke"/>
        <w:numPr>
          <w:ilvl w:val="0"/>
          <w:numId w:val="7"/>
        </w:numPr>
        <w:spacing w:after="0"/>
        <w:contextualSpacing w:val="0"/>
        <w:rPr>
          <w:rFonts w:cs="Arial"/>
        </w:rPr>
      </w:pPr>
      <w:r w:rsidRPr="00902F88">
        <w:rPr>
          <w:rFonts w:cs="Arial"/>
        </w:rPr>
        <w:t xml:space="preserve">The option to apply a domestic minimum top-up tax, combined with the priority given to the STTR over the IIR means that large MNE groups will face a proliferation of disputes (as GloBE taxes are applied to their operations globally, rather than just at the level of the ultimate parent entity).  This is a new feature of the rules creates a greater risk of increased disputes. </w:t>
      </w:r>
    </w:p>
    <w:p w14:paraId="05A0BC98" w14:textId="77777777" w:rsidR="004934A2" w:rsidRDefault="004934A2" w:rsidP="00751E71">
      <w:pPr>
        <w:pStyle w:val="Liststycke"/>
        <w:spacing w:after="0"/>
        <w:contextualSpacing w:val="0"/>
        <w:rPr>
          <w:rFonts w:eastAsia="Times New Roman"/>
        </w:rPr>
      </w:pPr>
    </w:p>
    <w:p w14:paraId="7CB86C33" w14:textId="4585DFAA" w:rsidR="00FB7E8F" w:rsidRDefault="00FB7E8F" w:rsidP="00DD0AE4">
      <w:pPr>
        <w:pStyle w:val="Liststycke"/>
        <w:numPr>
          <w:ilvl w:val="0"/>
          <w:numId w:val="7"/>
        </w:numPr>
        <w:spacing w:after="0"/>
        <w:contextualSpacing w:val="0"/>
        <w:rPr>
          <w:rFonts w:eastAsia="Times New Roman"/>
        </w:rPr>
      </w:pPr>
      <w:r>
        <w:rPr>
          <w:rFonts w:eastAsia="Times New Roman"/>
        </w:rPr>
        <w:t xml:space="preserve">The Implementation Framework should </w:t>
      </w:r>
      <w:r w:rsidR="00F17EA6">
        <w:rPr>
          <w:rFonts w:eastAsia="Times New Roman"/>
        </w:rPr>
        <w:t xml:space="preserve">be relatively easy to understand, particularly </w:t>
      </w:r>
      <w:r w:rsidR="00FB2CEB">
        <w:rPr>
          <w:rFonts w:eastAsia="Times New Roman"/>
        </w:rPr>
        <w:t>taking into consideration subsequent translation into different languages for local application.</w:t>
      </w:r>
    </w:p>
    <w:p w14:paraId="2DF4A9E9" w14:textId="77777777" w:rsidR="003D1069" w:rsidRDefault="003D1069" w:rsidP="00DD0AE4">
      <w:pPr>
        <w:spacing w:after="0"/>
        <w:rPr>
          <w:rFonts w:eastAsiaTheme="minorEastAsia"/>
        </w:rPr>
      </w:pPr>
    </w:p>
    <w:p w14:paraId="1E2726F0" w14:textId="77777777" w:rsidR="003D1069" w:rsidRDefault="003D1069" w:rsidP="00DD0AE4">
      <w:pPr>
        <w:spacing w:after="0"/>
        <w:rPr>
          <w:b/>
          <w:bCs/>
        </w:rPr>
      </w:pPr>
      <w:r>
        <w:rPr>
          <w:b/>
          <w:bCs/>
        </w:rPr>
        <w:t>Co-existence with third country regimes</w:t>
      </w:r>
    </w:p>
    <w:p w14:paraId="5F0D901D" w14:textId="77777777" w:rsidR="003D1069" w:rsidRDefault="003D1069" w:rsidP="00DD0AE4">
      <w:pPr>
        <w:spacing w:after="0"/>
        <w:rPr>
          <w:b/>
          <w:bCs/>
        </w:rPr>
      </w:pPr>
    </w:p>
    <w:p w14:paraId="265E9AF4" w14:textId="59AE2318" w:rsidR="003D1069" w:rsidRDefault="000D7E4B" w:rsidP="00DD0AE4">
      <w:pPr>
        <w:pStyle w:val="Liststycke"/>
        <w:numPr>
          <w:ilvl w:val="0"/>
          <w:numId w:val="8"/>
        </w:numPr>
        <w:spacing w:after="0"/>
        <w:contextualSpacing w:val="0"/>
        <w:rPr>
          <w:rFonts w:eastAsia="Times New Roman"/>
        </w:rPr>
      </w:pPr>
      <w:r>
        <w:rPr>
          <w:rFonts w:eastAsia="Times New Roman"/>
        </w:rPr>
        <w:t>ICC believes that gu</w:t>
      </w:r>
      <w:r w:rsidR="003D1069">
        <w:rPr>
          <w:rFonts w:eastAsia="Times New Roman"/>
        </w:rPr>
        <w:t>idance is needed regarding existing minimum tax regimes (</w:t>
      </w:r>
      <w:r w:rsidR="00AD2F95">
        <w:rPr>
          <w:rFonts w:eastAsia="Times New Roman"/>
        </w:rPr>
        <w:t>e.g.,</w:t>
      </w:r>
      <w:r w:rsidR="003D1069">
        <w:rPr>
          <w:rFonts w:eastAsia="Times New Roman"/>
        </w:rPr>
        <w:t xml:space="preserve"> the US Global Intangible Low Taxed Income regime (GILTI)) and how they co-exist with Pillar Two.</w:t>
      </w:r>
    </w:p>
    <w:p w14:paraId="166B4421" w14:textId="74EEFE37" w:rsidR="003D1069" w:rsidRDefault="003D1069" w:rsidP="00DD0AE4">
      <w:pPr>
        <w:pStyle w:val="Liststycke"/>
        <w:numPr>
          <w:ilvl w:val="1"/>
          <w:numId w:val="8"/>
        </w:numPr>
        <w:spacing w:after="0"/>
        <w:contextualSpacing w:val="0"/>
        <w:rPr>
          <w:rFonts w:eastAsia="Times New Roman"/>
        </w:rPr>
      </w:pPr>
      <w:r>
        <w:rPr>
          <w:rFonts w:eastAsia="Times New Roman"/>
        </w:rPr>
        <w:t xml:space="preserve">The Implementation </w:t>
      </w:r>
      <w:r w:rsidR="00DE329B">
        <w:rPr>
          <w:rFonts w:eastAsia="Times New Roman"/>
        </w:rPr>
        <w:t>F</w:t>
      </w:r>
      <w:r>
        <w:rPr>
          <w:rFonts w:eastAsia="Times New Roman"/>
        </w:rPr>
        <w:t xml:space="preserve">ramework should specify a uniform process for assessing whether a regime is a qualifying IIR.  There should be clear guidance as to what constitutes a qualified IIR, as well as a tracking mechanism for IIRs determined to be qualified. Such an approach would provide more certainty to governments and taxpayers, avoid lengthy disputes and potential double taxation. </w:t>
      </w:r>
    </w:p>
    <w:p w14:paraId="2C217663" w14:textId="7ACB5FC3" w:rsidR="003D1069" w:rsidRPr="0067660D" w:rsidRDefault="003D1069" w:rsidP="0067660D">
      <w:pPr>
        <w:pStyle w:val="Liststycke"/>
        <w:numPr>
          <w:ilvl w:val="1"/>
          <w:numId w:val="8"/>
        </w:numPr>
        <w:spacing w:after="0"/>
        <w:rPr>
          <w:rFonts w:eastAsia="Times New Roman"/>
        </w:rPr>
      </w:pPr>
      <w:r w:rsidRPr="0067660D">
        <w:rPr>
          <w:rFonts w:eastAsia="Times New Roman"/>
        </w:rPr>
        <w:t>A peer review system could be adopted to determine which jurisdictions should be regarded as having a qualified IIR. This will ensure a consistent approach amongst adopting countries (rather than each country making its own determination</w:t>
      </w:r>
      <w:r w:rsidR="00AD2F95" w:rsidRPr="0067660D">
        <w:rPr>
          <w:rFonts w:eastAsia="Times New Roman"/>
        </w:rPr>
        <w:t>) and</w:t>
      </w:r>
      <w:r w:rsidRPr="0067660D">
        <w:rPr>
          <w:rFonts w:eastAsia="Times New Roman"/>
        </w:rPr>
        <w:t xml:space="preserve"> could help manage complexity and reduce administration for businesses</w:t>
      </w:r>
      <w:r w:rsidR="00BB3EBC" w:rsidRPr="0067660D">
        <w:rPr>
          <w:rFonts w:eastAsia="Times New Roman"/>
        </w:rPr>
        <w:t>.</w:t>
      </w:r>
    </w:p>
    <w:p w14:paraId="1AC789FC" w14:textId="77777777" w:rsidR="003D1069" w:rsidRDefault="003D1069" w:rsidP="00DD0AE4">
      <w:pPr>
        <w:pStyle w:val="Liststycke"/>
        <w:numPr>
          <w:ilvl w:val="0"/>
          <w:numId w:val="8"/>
        </w:numPr>
        <w:spacing w:after="0"/>
        <w:contextualSpacing w:val="0"/>
        <w:rPr>
          <w:rFonts w:eastAsia="Times New Roman"/>
        </w:rPr>
      </w:pPr>
      <w:r>
        <w:rPr>
          <w:rFonts w:eastAsia="Times New Roman"/>
        </w:rPr>
        <w:t>Coexistence with the GILTI regime</w:t>
      </w:r>
    </w:p>
    <w:p w14:paraId="7405501A" w14:textId="77777777" w:rsidR="003D1069" w:rsidRDefault="003D1069" w:rsidP="00DD0AE4">
      <w:pPr>
        <w:pStyle w:val="Liststycke"/>
        <w:numPr>
          <w:ilvl w:val="1"/>
          <w:numId w:val="8"/>
        </w:numPr>
        <w:spacing w:after="0"/>
        <w:contextualSpacing w:val="0"/>
        <w:rPr>
          <w:rFonts w:eastAsia="Times New Roman"/>
          <w:shd w:val="clear" w:color="auto" w:fill="FFFFFF"/>
          <w:lang w:val="en-US"/>
        </w:rPr>
      </w:pPr>
      <w:r>
        <w:rPr>
          <w:rStyle w:val="eop"/>
          <w:rFonts w:eastAsia="Times New Roman"/>
          <w:shd w:val="clear" w:color="auto" w:fill="FFFFFF"/>
        </w:rPr>
        <w:t>I</w:t>
      </w:r>
      <w:r>
        <w:rPr>
          <w:rFonts w:eastAsia="Times New Roman"/>
          <w:shd w:val="clear" w:color="auto" w:fill="FFFFFF"/>
          <w:lang w:val="en-US"/>
        </w:rPr>
        <w:t>f the US does not enact changes to the existing GILTI regime (increase the rate to 15% and apply on a country-by-country basis), then current US GILTI cash tax liability should be treated as a CFC tax incurred by a low-taxed constituent entity before the application of the QDMTT, IIR, UTPR, etc.</w:t>
      </w:r>
    </w:p>
    <w:p w14:paraId="0ADEE132" w14:textId="77777777" w:rsidR="003D1069" w:rsidRDefault="003D1069" w:rsidP="00DD0AE4">
      <w:pPr>
        <w:pStyle w:val="Liststycke"/>
        <w:numPr>
          <w:ilvl w:val="1"/>
          <w:numId w:val="8"/>
        </w:numPr>
        <w:spacing w:after="0"/>
        <w:contextualSpacing w:val="0"/>
        <w:rPr>
          <w:rFonts w:eastAsia="Times New Roman"/>
          <w:lang w:val="en-US"/>
        </w:rPr>
      </w:pPr>
      <w:r>
        <w:rPr>
          <w:rStyle w:val="normaltextrun"/>
          <w:rFonts w:eastAsia="Times New Roman"/>
          <w:lang w:val="en-US"/>
        </w:rPr>
        <w:t>For US GAAP, companies were allowed to choose between two options to account for GILTI: a current period expense or the deferred method. Companies that elect to treat GILTI as a period expense record only the current GILTI tax expense in the year a GILTI tax liability is incurred, while companies that elect the deferred method record the GILTI deferred tax expense or benefit on temporary differences each year (in addition to the current GILTI tax expense).</w:t>
      </w:r>
      <w:r>
        <w:rPr>
          <w:rStyle w:val="normaltextrun"/>
          <w:rFonts w:ascii="Cambria Math" w:eastAsia="Times New Roman" w:hAnsi="Cambria Math" w:cs="Cambria Math"/>
        </w:rPr>
        <w:t> </w:t>
      </w:r>
      <w:r>
        <w:rPr>
          <w:rStyle w:val="normaltextrun"/>
          <w:rFonts w:eastAsia="Times New Roman"/>
        </w:rPr>
        <w:t>Accordingly, the accounting treatment depends on how companies elected with respect to provision of deferred tax.</w:t>
      </w:r>
      <w:r>
        <w:rPr>
          <w:rStyle w:val="normaltextrun"/>
          <w:rFonts w:ascii="Cambria Math" w:eastAsia="Times New Roman" w:hAnsi="Cambria Math" w:cs="Cambria Math"/>
        </w:rPr>
        <w:t> </w:t>
      </w:r>
      <w:r>
        <w:rPr>
          <w:rStyle w:val="normaltextrun"/>
          <w:rFonts w:eastAsia="Times New Roman"/>
          <w:lang w:val="en-US"/>
        </w:rPr>
        <w:t>To achieve uniform treatment among all filing entities, the guidance should confirm that only the current GILTI tax expense should be included as covered tax.</w:t>
      </w:r>
    </w:p>
    <w:p w14:paraId="0340AA23" w14:textId="62CBB876" w:rsidR="0038790C" w:rsidRPr="003D1069" w:rsidRDefault="0038790C" w:rsidP="00DD0AE4">
      <w:pPr>
        <w:spacing w:after="0"/>
        <w:rPr>
          <w:lang w:val="en-US"/>
        </w:rPr>
      </w:pPr>
    </w:p>
    <w:p w14:paraId="31C09E9F" w14:textId="4591FC73" w:rsidR="00F35117" w:rsidRDefault="00F35117" w:rsidP="00DD0AE4">
      <w:pPr>
        <w:spacing w:after="0"/>
      </w:pPr>
    </w:p>
    <w:p w14:paraId="0C8E9495" w14:textId="54E6D292" w:rsidR="00F35117" w:rsidRDefault="00F35117" w:rsidP="00DD0AE4">
      <w:pPr>
        <w:spacing w:after="0"/>
      </w:pPr>
    </w:p>
    <w:p w14:paraId="62955067" w14:textId="77777777" w:rsidR="00F35117" w:rsidRPr="00181D10" w:rsidRDefault="00F35117" w:rsidP="00DD0AE4">
      <w:pPr>
        <w:spacing w:after="0"/>
        <w:contextualSpacing/>
        <w:rPr>
          <w:rFonts w:cs="Arial"/>
          <w:b/>
          <w:bCs/>
          <w:color w:val="0070C0"/>
          <w:szCs w:val="22"/>
          <w:u w:val="single"/>
        </w:rPr>
      </w:pPr>
      <w:r w:rsidRPr="00181D10">
        <w:rPr>
          <w:rFonts w:cs="Arial"/>
          <w:b/>
          <w:color w:val="0070C0"/>
          <w:szCs w:val="22"/>
          <w:u w:val="single"/>
        </w:rPr>
        <w:t>Specific comments</w:t>
      </w:r>
      <w:r w:rsidRPr="00181D10">
        <w:rPr>
          <w:rFonts w:cs="Arial"/>
          <w:b/>
          <w:bCs/>
          <w:color w:val="0070C0"/>
          <w:szCs w:val="22"/>
          <w:u w:val="single"/>
        </w:rPr>
        <w:t>:</w:t>
      </w:r>
    </w:p>
    <w:p w14:paraId="36291EF4" w14:textId="7DDBA8D1" w:rsidR="00F35117" w:rsidRDefault="00F35117" w:rsidP="00DD0AE4">
      <w:pPr>
        <w:spacing w:after="0"/>
      </w:pPr>
    </w:p>
    <w:p w14:paraId="374738BB" w14:textId="18301F71" w:rsidR="00CD52E1" w:rsidRPr="000C66A9" w:rsidRDefault="00CD52E1" w:rsidP="00DD0AE4">
      <w:pPr>
        <w:pStyle w:val="Liststycke"/>
        <w:numPr>
          <w:ilvl w:val="0"/>
          <w:numId w:val="3"/>
        </w:numPr>
        <w:spacing w:after="0"/>
        <w:rPr>
          <w:b/>
          <w:bCs/>
          <w:color w:val="00B0F0"/>
        </w:rPr>
      </w:pPr>
      <w:r w:rsidRPr="000C66A9">
        <w:rPr>
          <w:b/>
          <w:bCs/>
          <w:color w:val="00B0F0"/>
        </w:rPr>
        <w:t>Do you see a need for further administrative guidance as part of the Implementation Framework? If so, please specify the issues that require attention and include any suggestions for the type of administrative guidance needed.</w:t>
      </w:r>
    </w:p>
    <w:p w14:paraId="42582FC2" w14:textId="77777777" w:rsidR="00CD52E1" w:rsidRDefault="00CD52E1" w:rsidP="00DD0AE4">
      <w:pPr>
        <w:spacing w:after="0"/>
        <w:ind w:firstLine="480"/>
      </w:pPr>
    </w:p>
    <w:p w14:paraId="67CEF7CB" w14:textId="08271B90" w:rsidR="003E0B9E" w:rsidRPr="00B4473B" w:rsidRDefault="0067660D" w:rsidP="003E0B9E">
      <w:pPr>
        <w:pStyle w:val="Liststycke"/>
        <w:numPr>
          <w:ilvl w:val="0"/>
          <w:numId w:val="10"/>
        </w:numPr>
        <w:spacing w:after="0"/>
        <w:ind w:left="990" w:hanging="270"/>
      </w:pPr>
      <w:r w:rsidRPr="00B4473B">
        <w:t xml:space="preserve">ICC members believe that the </w:t>
      </w:r>
      <w:r w:rsidR="0077066E" w:rsidRPr="00B4473B">
        <w:t>Implementation</w:t>
      </w:r>
      <w:r w:rsidR="00CD52E1" w:rsidRPr="00B4473B">
        <w:t xml:space="preserve"> Framework indeed needs further guidance </w:t>
      </w:r>
      <w:r w:rsidR="0077066E" w:rsidRPr="00B4473B">
        <w:t xml:space="preserve">due to </w:t>
      </w:r>
      <w:r w:rsidR="00CD52E1" w:rsidRPr="00B4473B">
        <w:t xml:space="preserve">the </w:t>
      </w:r>
      <w:r w:rsidR="00CD52E1" w:rsidRPr="00B4473B">
        <w:rPr>
          <w:rFonts w:hint="eastAsia"/>
        </w:rPr>
        <w:t>complexity</w:t>
      </w:r>
      <w:r w:rsidR="00CD52E1" w:rsidRPr="00B4473B">
        <w:t xml:space="preserve"> </w:t>
      </w:r>
      <w:r w:rsidR="00CD52E1" w:rsidRPr="00B4473B">
        <w:rPr>
          <w:rFonts w:hint="eastAsia"/>
        </w:rPr>
        <w:t>of</w:t>
      </w:r>
      <w:r w:rsidR="00CD52E1" w:rsidRPr="00B4473B">
        <w:t xml:space="preserve"> </w:t>
      </w:r>
      <w:r w:rsidR="0077066E" w:rsidRPr="00B4473B">
        <w:t xml:space="preserve">the </w:t>
      </w:r>
      <w:r w:rsidR="00CD52E1" w:rsidRPr="00B4473B">
        <w:t>GloBE Rules</w:t>
      </w:r>
      <w:r w:rsidR="002962AE">
        <w:t>.</w:t>
      </w:r>
    </w:p>
    <w:p w14:paraId="002CF4C5" w14:textId="77777777" w:rsidR="00A7398C" w:rsidRPr="003E0B9E" w:rsidRDefault="00A7398C" w:rsidP="00B4473B">
      <w:pPr>
        <w:pStyle w:val="Oformateradtext"/>
        <w:numPr>
          <w:ilvl w:val="0"/>
          <w:numId w:val="9"/>
        </w:numPr>
        <w:ind w:left="990" w:hanging="270"/>
        <w:rPr>
          <w:rFonts w:ascii="Gotham Book" w:eastAsia="Times New Roman" w:hAnsi="Gotham Book"/>
        </w:rPr>
      </w:pPr>
      <w:r w:rsidRPr="00B4473B">
        <w:rPr>
          <w:rFonts w:ascii="Gotham Book" w:eastAsia="Times New Roman" w:hAnsi="Gotham Book"/>
        </w:rPr>
        <w:t>There is a need to significantly reduce the complexity of these rules.  Administrative guidance could be used to outline jurisdictions in which the tax rates are above the minimum rate for which its clear that the minimum ETR is achieved</w:t>
      </w:r>
      <w:r w:rsidRPr="00B4473B">
        <w:rPr>
          <w:rFonts w:ascii="Gotham Book" w:eastAsia="Times New Roman" w:hAnsi="Gotham Book"/>
          <w:color w:val="FF0000"/>
        </w:rPr>
        <w:t>.</w:t>
      </w:r>
    </w:p>
    <w:p w14:paraId="42969811" w14:textId="77777777" w:rsidR="00E2540F" w:rsidRDefault="00EE6F6C" w:rsidP="003E0B9E">
      <w:pPr>
        <w:pStyle w:val="Oformateradtext"/>
        <w:numPr>
          <w:ilvl w:val="0"/>
          <w:numId w:val="9"/>
        </w:numPr>
        <w:ind w:left="990" w:hanging="270"/>
        <w:rPr>
          <w:rFonts w:ascii="Gotham Book" w:eastAsia="Times New Roman" w:hAnsi="Gotham Book"/>
        </w:rPr>
      </w:pPr>
      <w:r>
        <w:rPr>
          <w:rFonts w:ascii="Gotham Book" w:eastAsia="Times New Roman" w:hAnsi="Gotham Book"/>
        </w:rPr>
        <w:t xml:space="preserve">Further consultation </w:t>
      </w:r>
      <w:r w:rsidR="003E0B9E" w:rsidRPr="003E0B9E">
        <w:rPr>
          <w:rFonts w:ascii="Gotham Book" w:eastAsia="Times New Roman" w:hAnsi="Gotham Book"/>
        </w:rPr>
        <w:t xml:space="preserve">with business as the </w:t>
      </w:r>
      <w:r>
        <w:rPr>
          <w:rFonts w:ascii="Gotham Book" w:eastAsia="Times New Roman" w:hAnsi="Gotham Book"/>
        </w:rPr>
        <w:t>a</w:t>
      </w:r>
      <w:r w:rsidR="003E0B9E" w:rsidRPr="003E0B9E">
        <w:rPr>
          <w:rFonts w:ascii="Gotham Book" w:eastAsia="Times New Roman" w:hAnsi="Gotham Book"/>
        </w:rPr>
        <w:t xml:space="preserve">dministrative </w:t>
      </w:r>
      <w:r>
        <w:rPr>
          <w:rFonts w:ascii="Gotham Book" w:eastAsia="Times New Roman" w:hAnsi="Gotham Book"/>
        </w:rPr>
        <w:t>g</w:t>
      </w:r>
      <w:r w:rsidR="003E0B9E" w:rsidRPr="003E0B9E">
        <w:rPr>
          <w:rFonts w:ascii="Gotham Book" w:eastAsia="Times New Roman" w:hAnsi="Gotham Book"/>
        </w:rPr>
        <w:t xml:space="preserve">uidance is being developed, would be welcome.  </w:t>
      </w:r>
    </w:p>
    <w:p w14:paraId="2A0D4C41" w14:textId="135BC4B9" w:rsidR="003E0B9E" w:rsidRPr="003E0B9E" w:rsidRDefault="003E0B9E" w:rsidP="003E0B9E">
      <w:pPr>
        <w:pStyle w:val="Oformateradtext"/>
        <w:numPr>
          <w:ilvl w:val="0"/>
          <w:numId w:val="9"/>
        </w:numPr>
        <w:ind w:left="990" w:hanging="270"/>
        <w:rPr>
          <w:rFonts w:ascii="Gotham Book" w:eastAsia="Times New Roman" w:hAnsi="Gotham Book"/>
        </w:rPr>
      </w:pPr>
      <w:r w:rsidRPr="003E0B9E">
        <w:rPr>
          <w:rFonts w:ascii="Gotham Book" w:eastAsia="Times New Roman" w:hAnsi="Gotham Book"/>
        </w:rPr>
        <w:t xml:space="preserve">A phased release of finished chapters or sections would be beneficial.   </w:t>
      </w:r>
    </w:p>
    <w:p w14:paraId="76760471" w14:textId="70ECA6B7" w:rsidR="003E0B9E" w:rsidRPr="00B4473B" w:rsidRDefault="00E2540F" w:rsidP="003E0B9E">
      <w:pPr>
        <w:pStyle w:val="Oformateradtext"/>
        <w:numPr>
          <w:ilvl w:val="0"/>
          <w:numId w:val="9"/>
        </w:numPr>
        <w:ind w:left="990" w:hanging="270"/>
        <w:rPr>
          <w:rFonts w:ascii="Gotham Book" w:eastAsia="Times New Roman" w:hAnsi="Gotham Book"/>
        </w:rPr>
      </w:pPr>
      <w:r>
        <w:rPr>
          <w:rFonts w:ascii="Gotham Book" w:eastAsia="Times New Roman" w:hAnsi="Gotham Book"/>
        </w:rPr>
        <w:t>I</w:t>
      </w:r>
      <w:r w:rsidR="003E0B9E" w:rsidRPr="003E0B9E">
        <w:rPr>
          <w:rFonts w:ascii="Gotham Book" w:eastAsia="Times New Roman" w:hAnsi="Gotham Book"/>
        </w:rPr>
        <w:t xml:space="preserve">t would </w:t>
      </w:r>
      <w:r>
        <w:rPr>
          <w:rFonts w:ascii="Gotham Book" w:eastAsia="Times New Roman" w:hAnsi="Gotham Book"/>
        </w:rPr>
        <w:t xml:space="preserve">also </w:t>
      </w:r>
      <w:r w:rsidR="003E0B9E" w:rsidRPr="003E0B9E">
        <w:rPr>
          <w:rFonts w:ascii="Gotham Book" w:eastAsia="Times New Roman" w:hAnsi="Gotham Book"/>
        </w:rPr>
        <w:t>be helpful if the OECD Secretariat could work together with the International Accounting Standards Board to clarify the accounting treatment of top-up taxes under the Model Rules.</w:t>
      </w:r>
    </w:p>
    <w:p w14:paraId="288365E8" w14:textId="2A110D55" w:rsidR="00AE2385" w:rsidRPr="00B4473B" w:rsidRDefault="00AE2385" w:rsidP="00AE2385">
      <w:pPr>
        <w:pStyle w:val="Oformateradtext"/>
        <w:numPr>
          <w:ilvl w:val="0"/>
          <w:numId w:val="9"/>
        </w:numPr>
        <w:ind w:left="990" w:hanging="270"/>
        <w:rPr>
          <w:rFonts w:ascii="Gotham Book" w:eastAsia="Times New Roman" w:hAnsi="Gotham Book"/>
        </w:rPr>
      </w:pPr>
      <w:r w:rsidRPr="00B4473B">
        <w:rPr>
          <w:rFonts w:ascii="Gotham Book" w:eastAsia="Times New Roman" w:hAnsi="Gotham Book"/>
        </w:rPr>
        <w:t>As noted above, administrative guidance is required</w:t>
      </w:r>
      <w:r>
        <w:rPr>
          <w:rFonts w:ascii="Gotham Book" w:eastAsia="Times New Roman" w:hAnsi="Gotham Book"/>
        </w:rPr>
        <w:t xml:space="preserve"> with respect to</w:t>
      </w:r>
      <w:r w:rsidRPr="00B4473B">
        <w:rPr>
          <w:rFonts w:ascii="Gotham Book" w:eastAsia="Times New Roman" w:hAnsi="Gotham Book"/>
        </w:rPr>
        <w:t xml:space="preserve"> coexistence with GILTI.   If GILTI is not a qualified </w:t>
      </w:r>
      <w:r w:rsidR="00AD2F95" w:rsidRPr="00B4473B">
        <w:rPr>
          <w:rFonts w:ascii="Gotham Book" w:eastAsia="Times New Roman" w:hAnsi="Gotham Book"/>
        </w:rPr>
        <w:t>IIR, it</w:t>
      </w:r>
      <w:r w:rsidRPr="00B4473B">
        <w:rPr>
          <w:rFonts w:ascii="Gotham Book" w:eastAsia="Times New Roman" w:hAnsi="Gotham Book"/>
        </w:rPr>
        <w:t xml:space="preserve"> should be clearly stated that GILTI is a CFC tax and allocated to jurisdictions with effective rates less than 15%.</w:t>
      </w:r>
    </w:p>
    <w:p w14:paraId="57B6C943" w14:textId="185DFB95" w:rsidR="00A7398C" w:rsidRDefault="00A7398C" w:rsidP="00B4473B">
      <w:pPr>
        <w:numPr>
          <w:ilvl w:val="0"/>
          <w:numId w:val="9"/>
        </w:numPr>
        <w:spacing w:after="0"/>
        <w:ind w:left="990" w:hanging="270"/>
        <w:jc w:val="both"/>
        <w:rPr>
          <w:rFonts w:eastAsia="Times New Roman"/>
          <w:sz w:val="20"/>
          <w:szCs w:val="20"/>
        </w:rPr>
      </w:pPr>
      <w:r>
        <w:rPr>
          <w:rFonts w:eastAsia="Times New Roman"/>
        </w:rPr>
        <w:t>Further detailed guidance is needed as to how the QDMTT would work in practice (</w:t>
      </w:r>
      <w:r w:rsidR="00AD2F95">
        <w:rPr>
          <w:rFonts w:eastAsia="Times New Roman"/>
        </w:rPr>
        <w:t>e.g.,</w:t>
      </w:r>
      <w:r>
        <w:rPr>
          <w:rFonts w:eastAsia="Times New Roman"/>
        </w:rPr>
        <w:t xml:space="preserve"> how it is charged, collected and administered by jurisdictions) and how this is recognized by parent jurisdictions. It is also unclear how the QDMTT applied in a jurisdiction will interact with a ‘qualified refundable tax credit’ granted by the parent jurisdiction (</w:t>
      </w:r>
      <w:r w:rsidR="00AD2F95">
        <w:rPr>
          <w:rFonts w:eastAsia="Times New Roman"/>
        </w:rPr>
        <w:t>e.g.,</w:t>
      </w:r>
      <w:r>
        <w:rPr>
          <w:rFonts w:eastAsia="Times New Roman"/>
        </w:rPr>
        <w:t xml:space="preserve"> tax credits for R&amp;D investments), and whether such credits will lead to an increase of the QDMTT applied.  </w:t>
      </w:r>
    </w:p>
    <w:p w14:paraId="1A53E2D0" w14:textId="08EE5B11" w:rsidR="00A7398C" w:rsidRPr="00DF7DCF" w:rsidRDefault="00A7398C" w:rsidP="00B4473B">
      <w:pPr>
        <w:numPr>
          <w:ilvl w:val="0"/>
          <w:numId w:val="9"/>
        </w:numPr>
        <w:spacing w:after="0"/>
        <w:ind w:left="990" w:hanging="270"/>
        <w:jc w:val="both"/>
        <w:rPr>
          <w:rFonts w:eastAsia="Times New Roman"/>
          <w:sz w:val="20"/>
          <w:szCs w:val="20"/>
        </w:rPr>
      </w:pPr>
      <w:r>
        <w:rPr>
          <w:rFonts w:eastAsia="Times New Roman"/>
        </w:rPr>
        <w:t>Similarly, the original purpose of the Undertaxed Payment Rule (UTPR) was to act as a backstop to the IIR. It appears that the scope of this rule has been expanded to apply to profits which may have an ETR below 15% simply as a result of domestic incentive regimes (</w:t>
      </w:r>
      <w:r w:rsidR="00AD2F95">
        <w:rPr>
          <w:rFonts w:eastAsia="Times New Roman"/>
        </w:rPr>
        <w:t>e.g.,</w:t>
      </w:r>
      <w:r>
        <w:rPr>
          <w:rFonts w:eastAsia="Times New Roman"/>
        </w:rPr>
        <w:t xml:space="preserve"> R&amp;D, </w:t>
      </w:r>
      <w:r w:rsidR="000C1CCA">
        <w:rPr>
          <w:rFonts w:eastAsia="Times New Roman"/>
        </w:rPr>
        <w:t>low-income</w:t>
      </w:r>
      <w:r>
        <w:rPr>
          <w:rFonts w:eastAsia="Times New Roman"/>
        </w:rPr>
        <w:t xml:space="preserve"> housing credits etc).  Further guidance relating to the application of the UTPR in such cases is required.</w:t>
      </w:r>
    </w:p>
    <w:p w14:paraId="477A15C0" w14:textId="77777777" w:rsidR="00DF7DCF" w:rsidRPr="00E16D69" w:rsidRDefault="00DF7DCF" w:rsidP="00DF7DCF">
      <w:pPr>
        <w:spacing w:after="0"/>
        <w:ind w:left="990"/>
        <w:jc w:val="both"/>
        <w:rPr>
          <w:rFonts w:eastAsia="Times New Roman"/>
          <w:sz w:val="20"/>
          <w:szCs w:val="20"/>
        </w:rPr>
      </w:pPr>
    </w:p>
    <w:p w14:paraId="783AB2F3" w14:textId="6F039F5C" w:rsidR="00E16D69" w:rsidRPr="00E16D69" w:rsidRDefault="00E16D69" w:rsidP="00B4473B">
      <w:pPr>
        <w:numPr>
          <w:ilvl w:val="0"/>
          <w:numId w:val="9"/>
        </w:numPr>
        <w:spacing w:after="0"/>
        <w:ind w:left="990" w:hanging="270"/>
        <w:jc w:val="both"/>
        <w:rPr>
          <w:rFonts w:eastAsia="Times New Roman"/>
          <w:sz w:val="20"/>
          <w:szCs w:val="20"/>
          <w:u w:val="single"/>
        </w:rPr>
      </w:pPr>
      <w:r w:rsidRPr="00E16D69">
        <w:rPr>
          <w:rFonts w:eastAsia="Times New Roman"/>
          <w:u w:val="single"/>
        </w:rPr>
        <w:t>Specific issues</w:t>
      </w:r>
      <w:r>
        <w:rPr>
          <w:rFonts w:eastAsia="Times New Roman"/>
          <w:u w:val="single"/>
        </w:rPr>
        <w:t>:</w:t>
      </w:r>
    </w:p>
    <w:p w14:paraId="7DC579B3" w14:textId="77777777" w:rsidR="005B0568" w:rsidRDefault="009B56E3" w:rsidP="005B0568">
      <w:pPr>
        <w:numPr>
          <w:ilvl w:val="0"/>
          <w:numId w:val="9"/>
        </w:numPr>
        <w:spacing w:after="0"/>
        <w:ind w:left="1260" w:hanging="270"/>
        <w:jc w:val="both"/>
        <w:rPr>
          <w:rFonts w:eastAsia="Times New Roman"/>
          <w:szCs w:val="22"/>
        </w:rPr>
      </w:pPr>
      <w:r w:rsidRPr="00B60E2B">
        <w:rPr>
          <w:rFonts w:eastAsia="Times New Roman"/>
          <w:szCs w:val="22"/>
        </w:rPr>
        <w:t xml:space="preserve">Where there are adjustments arising in the consolidation process that relate to a Constituent Entity (CE)’s results for the period but that are only posted to the CE’s accounts subsequently as part of the statutory process for that CE, how should adjustments between CFSs and final GloBE calculations be prepared? </w:t>
      </w:r>
    </w:p>
    <w:p w14:paraId="31A263CE" w14:textId="77777777" w:rsidR="005B0568" w:rsidRDefault="005B0568" w:rsidP="005B0568">
      <w:pPr>
        <w:spacing w:after="0"/>
        <w:ind w:left="1260"/>
        <w:jc w:val="both"/>
        <w:rPr>
          <w:rFonts w:eastAsia="Times New Roman"/>
          <w:szCs w:val="22"/>
        </w:rPr>
      </w:pPr>
    </w:p>
    <w:p w14:paraId="64584ECD" w14:textId="2DDB8972" w:rsidR="00E16D69" w:rsidRDefault="00B60E2B" w:rsidP="005B0568">
      <w:pPr>
        <w:spacing w:after="0"/>
        <w:ind w:left="1260"/>
        <w:jc w:val="both"/>
        <w:rPr>
          <w:rFonts w:eastAsia="Times New Roman"/>
          <w:szCs w:val="22"/>
        </w:rPr>
      </w:pPr>
      <w:r w:rsidRPr="005B0568">
        <w:rPr>
          <w:rFonts w:eastAsia="Times New Roman"/>
          <w:szCs w:val="22"/>
        </w:rPr>
        <w:t xml:space="preserve">ICC members suggest that </w:t>
      </w:r>
      <w:r w:rsidR="005B0568">
        <w:rPr>
          <w:rFonts w:eastAsia="Times New Roman"/>
          <w:szCs w:val="22"/>
        </w:rPr>
        <w:t>c</w:t>
      </w:r>
      <w:r w:rsidRPr="005B0568">
        <w:rPr>
          <w:rFonts w:eastAsia="Times New Roman"/>
          <w:szCs w:val="22"/>
        </w:rPr>
        <w:t>onfirmation that where an MNE group’s local statutory accounts are prepared using the same accounting standard as the group accounts, and this accounting standard is an acceptable accounting standard for purposes of the Model Rules, these would be a valid starting point for any GloBE calculation (based on discussions with certain Inclusive Framework jurisdictions).</w:t>
      </w:r>
    </w:p>
    <w:p w14:paraId="179EFA24" w14:textId="77777777" w:rsidR="0085010A" w:rsidRDefault="0085010A" w:rsidP="0085010A">
      <w:pPr>
        <w:spacing w:after="0"/>
        <w:jc w:val="both"/>
        <w:rPr>
          <w:rFonts w:eastAsia="Times New Roman"/>
          <w:szCs w:val="22"/>
        </w:rPr>
      </w:pPr>
    </w:p>
    <w:p w14:paraId="32CDD7A2" w14:textId="5A17CFDE" w:rsidR="00795C73" w:rsidRDefault="0085010A" w:rsidP="00795C73">
      <w:pPr>
        <w:pStyle w:val="Liststycke"/>
        <w:numPr>
          <w:ilvl w:val="0"/>
          <w:numId w:val="10"/>
        </w:numPr>
        <w:spacing w:after="0"/>
        <w:jc w:val="both"/>
        <w:rPr>
          <w:rFonts w:eastAsia="Times New Roman"/>
          <w:szCs w:val="22"/>
        </w:rPr>
      </w:pPr>
      <w:r w:rsidRPr="0085010A">
        <w:rPr>
          <w:rFonts w:eastAsia="Times New Roman"/>
          <w:szCs w:val="22"/>
        </w:rPr>
        <w:t>The Commentary lists a few examples of “covered taxes”.</w:t>
      </w:r>
    </w:p>
    <w:p w14:paraId="705877A7" w14:textId="77777777" w:rsidR="00730E52" w:rsidRDefault="00730E52" w:rsidP="00730E52">
      <w:pPr>
        <w:pStyle w:val="Liststycke"/>
        <w:spacing w:after="0"/>
        <w:ind w:left="1200"/>
        <w:jc w:val="both"/>
        <w:rPr>
          <w:rFonts w:eastAsia="Times New Roman"/>
          <w:szCs w:val="22"/>
        </w:rPr>
      </w:pPr>
    </w:p>
    <w:p w14:paraId="1346DD21" w14:textId="0F61F0CB" w:rsidR="0085010A" w:rsidRDefault="00AB7967" w:rsidP="0085010A">
      <w:pPr>
        <w:pStyle w:val="Liststycke"/>
        <w:spacing w:after="0"/>
        <w:ind w:left="1200"/>
        <w:jc w:val="both"/>
        <w:rPr>
          <w:rFonts w:eastAsia="Times New Roman"/>
          <w:szCs w:val="22"/>
        </w:rPr>
      </w:pPr>
      <w:r>
        <w:rPr>
          <w:rFonts w:eastAsia="Times New Roman"/>
          <w:szCs w:val="22"/>
        </w:rPr>
        <w:t>ICC members suggest that a</w:t>
      </w:r>
      <w:r w:rsidRPr="00AB7967">
        <w:rPr>
          <w:rFonts w:eastAsia="Times New Roman"/>
          <w:szCs w:val="22"/>
        </w:rPr>
        <w:t xml:space="preserve"> full list of taxes imposed by Inclusive Framework member jurisdictions that would be considered “covered taxes” under the Model Rules, similar to Article 2.3 of double tax treaties, would help reduce uncertainty as to what is a “covered tax”.</w:t>
      </w:r>
    </w:p>
    <w:p w14:paraId="1C2236CE" w14:textId="77777777" w:rsidR="00730E52" w:rsidRDefault="00730E52" w:rsidP="00730E52">
      <w:pPr>
        <w:spacing w:after="0"/>
        <w:jc w:val="both"/>
        <w:rPr>
          <w:rFonts w:eastAsia="Times New Roman"/>
          <w:szCs w:val="22"/>
        </w:rPr>
      </w:pPr>
    </w:p>
    <w:p w14:paraId="2E0C3994" w14:textId="1C8D8B7A" w:rsidR="00730E52" w:rsidRDefault="009C4401" w:rsidP="00730E52">
      <w:pPr>
        <w:pStyle w:val="Liststycke"/>
        <w:numPr>
          <w:ilvl w:val="0"/>
          <w:numId w:val="10"/>
        </w:numPr>
        <w:spacing w:after="0"/>
        <w:jc w:val="both"/>
        <w:rPr>
          <w:rFonts w:eastAsia="Times New Roman"/>
          <w:szCs w:val="22"/>
        </w:rPr>
      </w:pPr>
      <w:r w:rsidRPr="009C4401">
        <w:rPr>
          <w:rFonts w:eastAsia="Times New Roman"/>
          <w:szCs w:val="22"/>
        </w:rPr>
        <w:t>Compatibility of the UTPR with tax treaties</w:t>
      </w:r>
      <w:r>
        <w:rPr>
          <w:rFonts w:eastAsia="Times New Roman"/>
          <w:szCs w:val="22"/>
        </w:rPr>
        <w:t>.</w:t>
      </w:r>
    </w:p>
    <w:p w14:paraId="2E3078A1" w14:textId="77777777" w:rsidR="009C4401" w:rsidRDefault="009C4401" w:rsidP="009C4401">
      <w:pPr>
        <w:pStyle w:val="Liststycke"/>
        <w:spacing w:after="0"/>
        <w:ind w:left="1200"/>
        <w:jc w:val="both"/>
        <w:rPr>
          <w:rFonts w:eastAsia="Times New Roman"/>
          <w:szCs w:val="22"/>
        </w:rPr>
      </w:pPr>
    </w:p>
    <w:p w14:paraId="05901D21" w14:textId="73EA6F46" w:rsidR="009C4401" w:rsidRDefault="00DF7DCF" w:rsidP="009C4401">
      <w:pPr>
        <w:pStyle w:val="Liststycke"/>
        <w:spacing w:after="0"/>
        <w:ind w:left="1200"/>
        <w:jc w:val="both"/>
        <w:rPr>
          <w:rFonts w:eastAsia="Times New Roman"/>
          <w:szCs w:val="22"/>
        </w:rPr>
      </w:pPr>
      <w:r>
        <w:rPr>
          <w:rFonts w:eastAsia="Times New Roman"/>
          <w:szCs w:val="22"/>
        </w:rPr>
        <w:t xml:space="preserve">ICC members suggest addressing </w:t>
      </w:r>
      <w:r w:rsidRPr="00DF7DCF">
        <w:rPr>
          <w:rFonts w:eastAsia="Times New Roman"/>
          <w:szCs w:val="22"/>
        </w:rPr>
        <w:t>the issue of how the UTPR sits with tax treaties</w:t>
      </w:r>
      <w:r>
        <w:rPr>
          <w:rFonts w:eastAsia="Times New Roman"/>
          <w:szCs w:val="22"/>
        </w:rPr>
        <w:t>.</w:t>
      </w:r>
    </w:p>
    <w:p w14:paraId="4A2F80CB" w14:textId="77777777" w:rsidR="00C4787E" w:rsidRDefault="00C4787E" w:rsidP="00C4787E">
      <w:pPr>
        <w:spacing w:after="0"/>
        <w:jc w:val="both"/>
        <w:rPr>
          <w:rFonts w:eastAsia="Times New Roman"/>
          <w:szCs w:val="22"/>
        </w:rPr>
      </w:pPr>
    </w:p>
    <w:p w14:paraId="28424DD2" w14:textId="22E6500E" w:rsidR="00C4787E" w:rsidRDefault="00C4787E" w:rsidP="00C4787E">
      <w:pPr>
        <w:pStyle w:val="Liststycke"/>
        <w:numPr>
          <w:ilvl w:val="0"/>
          <w:numId w:val="10"/>
        </w:numPr>
        <w:spacing w:after="0"/>
        <w:jc w:val="both"/>
        <w:rPr>
          <w:rFonts w:eastAsia="Times New Roman"/>
          <w:szCs w:val="22"/>
        </w:rPr>
      </w:pPr>
      <w:r w:rsidRPr="00C4787E">
        <w:rPr>
          <w:rFonts w:eastAsia="Times New Roman"/>
          <w:szCs w:val="22"/>
        </w:rPr>
        <w:t xml:space="preserve">The Model Rules and Commentary address confidentiality of GloBE information returns but does not address the use of information contained in the GloBE information returns.  </w:t>
      </w:r>
    </w:p>
    <w:p w14:paraId="165FC290" w14:textId="77777777" w:rsidR="00EF3878" w:rsidRDefault="00EF3878" w:rsidP="00EF3878">
      <w:pPr>
        <w:pStyle w:val="Liststycke"/>
        <w:spacing w:after="0"/>
        <w:ind w:left="1200"/>
        <w:jc w:val="both"/>
        <w:rPr>
          <w:rFonts w:eastAsia="Times New Roman"/>
          <w:szCs w:val="22"/>
        </w:rPr>
      </w:pPr>
    </w:p>
    <w:p w14:paraId="126C27B3" w14:textId="37EDD074" w:rsidR="00EF3878" w:rsidRDefault="00EF3878" w:rsidP="00EF3878">
      <w:pPr>
        <w:pStyle w:val="Liststycke"/>
        <w:spacing w:after="0"/>
        <w:ind w:left="1200"/>
        <w:jc w:val="both"/>
        <w:rPr>
          <w:rFonts w:eastAsia="Times New Roman"/>
          <w:szCs w:val="22"/>
        </w:rPr>
      </w:pPr>
      <w:r>
        <w:rPr>
          <w:rFonts w:eastAsia="Times New Roman"/>
          <w:szCs w:val="22"/>
        </w:rPr>
        <w:t>ICC members suggest that e</w:t>
      </w:r>
      <w:r w:rsidRPr="00EF3878">
        <w:rPr>
          <w:rFonts w:eastAsia="Times New Roman"/>
          <w:szCs w:val="22"/>
        </w:rPr>
        <w:t>xplicit confirmation that</w:t>
      </w:r>
      <w:r w:rsidR="00191267">
        <w:rPr>
          <w:rFonts w:eastAsia="Times New Roman"/>
          <w:szCs w:val="22"/>
        </w:rPr>
        <w:t xml:space="preserve"> tax administrations</w:t>
      </w:r>
      <w:r w:rsidRPr="00EF3878">
        <w:rPr>
          <w:rFonts w:eastAsia="Times New Roman"/>
          <w:szCs w:val="22"/>
        </w:rPr>
        <w:t xml:space="preserve"> can use information in the GloBE information return only for purposes of administering the GloBE rules.  </w:t>
      </w:r>
    </w:p>
    <w:p w14:paraId="1EECFE90" w14:textId="77777777" w:rsidR="00ED5FB3" w:rsidRDefault="00ED5FB3" w:rsidP="00ED5FB3">
      <w:pPr>
        <w:spacing w:after="0"/>
        <w:jc w:val="both"/>
        <w:rPr>
          <w:rFonts w:eastAsia="Times New Roman"/>
          <w:szCs w:val="22"/>
        </w:rPr>
      </w:pPr>
    </w:p>
    <w:p w14:paraId="2D926303" w14:textId="308EB578" w:rsidR="00ED5FB3" w:rsidRDefault="00ED5FB3" w:rsidP="00ED5FB3">
      <w:pPr>
        <w:pStyle w:val="Liststycke"/>
        <w:numPr>
          <w:ilvl w:val="0"/>
          <w:numId w:val="10"/>
        </w:numPr>
        <w:spacing w:after="0"/>
        <w:jc w:val="both"/>
        <w:rPr>
          <w:rFonts w:eastAsia="Times New Roman"/>
          <w:szCs w:val="22"/>
        </w:rPr>
      </w:pPr>
      <w:r w:rsidRPr="00ED5FB3">
        <w:rPr>
          <w:rFonts w:eastAsia="Times New Roman"/>
          <w:szCs w:val="22"/>
        </w:rPr>
        <w:t xml:space="preserve">Under the Model Rules, </w:t>
      </w:r>
      <w:r>
        <w:rPr>
          <w:rFonts w:eastAsia="Times New Roman"/>
          <w:szCs w:val="22"/>
        </w:rPr>
        <w:t>tax administrations</w:t>
      </w:r>
      <w:r w:rsidRPr="00ED5FB3">
        <w:rPr>
          <w:rFonts w:eastAsia="Times New Roman"/>
          <w:szCs w:val="22"/>
        </w:rPr>
        <w:t xml:space="preserve"> can challenge a taxpayer’s election to apply a GloBE Safe Harbour “where specific facts and circumstances may have materially affected the eligibility of the MNE Group for the relevant GloBE Safe Harbour” (Article 8.2.2).  The Commentary to Article 8.2.2(a) makes it clear that neither the tax administration nor the taxpayer </w:t>
      </w:r>
      <w:r w:rsidR="000C1CCA" w:rsidRPr="00ED5FB3">
        <w:rPr>
          <w:rFonts w:eastAsia="Times New Roman"/>
          <w:szCs w:val="22"/>
        </w:rPr>
        <w:t>is</w:t>
      </w:r>
      <w:r w:rsidRPr="00ED5FB3">
        <w:rPr>
          <w:rFonts w:eastAsia="Times New Roman"/>
          <w:szCs w:val="22"/>
        </w:rPr>
        <w:t xml:space="preserve"> required to compute the ETR of the jurisdiction to test whether the ETR is below the minimum rate.   </w:t>
      </w:r>
    </w:p>
    <w:p w14:paraId="0FAB6DCE" w14:textId="77777777" w:rsidR="00DC042C" w:rsidRDefault="00DC042C" w:rsidP="00DC042C">
      <w:pPr>
        <w:pStyle w:val="Liststycke"/>
        <w:spacing w:after="0"/>
        <w:ind w:left="1200"/>
        <w:jc w:val="both"/>
        <w:rPr>
          <w:rFonts w:eastAsia="Times New Roman"/>
          <w:szCs w:val="22"/>
        </w:rPr>
      </w:pPr>
    </w:p>
    <w:p w14:paraId="246D8DEC" w14:textId="24BDAF9B" w:rsidR="00DC042C" w:rsidRPr="00ED5FB3" w:rsidRDefault="00177747" w:rsidP="00DC042C">
      <w:pPr>
        <w:pStyle w:val="Liststycke"/>
        <w:spacing w:after="0"/>
        <w:ind w:left="1200"/>
        <w:jc w:val="both"/>
        <w:rPr>
          <w:rFonts w:eastAsia="Times New Roman"/>
          <w:szCs w:val="22"/>
        </w:rPr>
      </w:pPr>
      <w:r>
        <w:rPr>
          <w:rFonts w:eastAsia="Times New Roman"/>
          <w:szCs w:val="22"/>
        </w:rPr>
        <w:t>ICC notes that, a</w:t>
      </w:r>
      <w:r w:rsidR="00DC042C" w:rsidRPr="00DC042C">
        <w:rPr>
          <w:rFonts w:eastAsia="Times New Roman"/>
          <w:szCs w:val="22"/>
        </w:rPr>
        <w:t xml:space="preserve">part from the areas identified in the Commentary, guidance is needed, amongst others, around: the meaning of “materially affected”; how a taxpayer would be expected to clarify the effect of the facts and circumstances identified by the tax administration without doing the ETR calculation; who makes the final determination (a panel of – selected? – jurisdictions that would otherwise be allocated a top-up tax?).  </w:t>
      </w:r>
    </w:p>
    <w:p w14:paraId="3AAB5680" w14:textId="77777777" w:rsidR="00AB7967" w:rsidRPr="00795C73" w:rsidRDefault="00AB7967" w:rsidP="0085010A">
      <w:pPr>
        <w:pStyle w:val="Liststycke"/>
        <w:spacing w:after="0"/>
        <w:ind w:left="1200"/>
        <w:jc w:val="both"/>
        <w:rPr>
          <w:rFonts w:eastAsia="Times New Roman"/>
          <w:szCs w:val="22"/>
        </w:rPr>
      </w:pPr>
    </w:p>
    <w:p w14:paraId="2EBFB537" w14:textId="411773F4" w:rsidR="00033A7A" w:rsidRPr="00E95223" w:rsidRDefault="002C787C" w:rsidP="00033A7A">
      <w:pPr>
        <w:pStyle w:val="Liststycke"/>
        <w:numPr>
          <w:ilvl w:val="0"/>
          <w:numId w:val="10"/>
        </w:numPr>
        <w:spacing w:after="0"/>
        <w:ind w:left="990" w:hanging="270"/>
      </w:pPr>
      <w:r w:rsidRPr="00E95223">
        <w:t xml:space="preserve">Tax systems </w:t>
      </w:r>
      <w:r w:rsidR="00033A7A" w:rsidRPr="00E95223">
        <w:t>differ</w:t>
      </w:r>
      <w:r w:rsidRPr="00E95223">
        <w:t xml:space="preserve"> between</w:t>
      </w:r>
      <w:r w:rsidR="00033A7A" w:rsidRPr="00E95223">
        <w:t xml:space="preserve"> different countries and regions. In this respect two aspects</w:t>
      </w:r>
      <w:r w:rsidR="00033A7A" w:rsidRPr="00E95223">
        <w:rPr>
          <w:rFonts w:hint="eastAsia"/>
        </w:rPr>
        <w:t xml:space="preserve"> </w:t>
      </w:r>
      <w:r w:rsidR="000C1CCA" w:rsidRPr="00E95223">
        <w:t>should therefore be</w:t>
      </w:r>
      <w:r w:rsidR="00033A7A" w:rsidRPr="00E95223">
        <w:t xml:space="preserve"> considered: </w:t>
      </w:r>
    </w:p>
    <w:p w14:paraId="0B97D3BA" w14:textId="7A256D23" w:rsidR="00033A7A" w:rsidRPr="00E95223" w:rsidRDefault="00033A7A" w:rsidP="00033A7A">
      <w:pPr>
        <w:pStyle w:val="Liststycke"/>
        <w:numPr>
          <w:ilvl w:val="0"/>
          <w:numId w:val="11"/>
        </w:numPr>
        <w:spacing w:after="0"/>
      </w:pPr>
      <w:r w:rsidRPr="00E95223">
        <w:rPr>
          <w:rFonts w:hint="eastAsia"/>
        </w:rPr>
        <w:t>Firstly</w:t>
      </w:r>
      <w:r w:rsidRPr="00E95223">
        <w:t xml:space="preserve">, concordance </w:t>
      </w:r>
      <w:r w:rsidRPr="00E95223">
        <w:rPr>
          <w:rFonts w:hint="eastAsia"/>
        </w:rPr>
        <w:t>with</w:t>
      </w:r>
      <w:r w:rsidRPr="00E95223">
        <w:t xml:space="preserve"> </w:t>
      </w:r>
      <w:r w:rsidRPr="00E95223">
        <w:rPr>
          <w:rFonts w:hint="eastAsia"/>
        </w:rPr>
        <w:t>local</w:t>
      </w:r>
      <w:r w:rsidRPr="00E95223">
        <w:t xml:space="preserve"> </w:t>
      </w:r>
      <w:r w:rsidRPr="00E95223">
        <w:rPr>
          <w:rFonts w:hint="eastAsia"/>
        </w:rPr>
        <w:t>regime</w:t>
      </w:r>
      <w:r w:rsidRPr="00E95223">
        <w:t xml:space="preserve">s should be </w:t>
      </w:r>
      <w:r w:rsidR="00E95223" w:rsidRPr="00E95223">
        <w:t>considered</w:t>
      </w:r>
      <w:r w:rsidRPr="00E95223">
        <w:t xml:space="preserve">. </w:t>
      </w:r>
      <w:r w:rsidRPr="00E95223">
        <w:rPr>
          <w:rFonts w:hint="eastAsia"/>
        </w:rPr>
        <w:t>SOR is</w:t>
      </w:r>
      <w:r w:rsidRPr="00E95223">
        <w:t xml:space="preserve"> </w:t>
      </w:r>
      <w:r w:rsidRPr="00E95223">
        <w:rPr>
          <w:rFonts w:hint="eastAsia"/>
        </w:rPr>
        <w:t xml:space="preserve">implemented </w:t>
      </w:r>
      <w:r w:rsidRPr="00E95223">
        <w:t xml:space="preserve">with respect to the </w:t>
      </w:r>
      <w:r w:rsidRPr="00E95223">
        <w:rPr>
          <w:rFonts w:hint="eastAsia"/>
        </w:rPr>
        <w:t>Exemption Method</w:t>
      </w:r>
      <w:r w:rsidRPr="00E95223">
        <w:t xml:space="preserve">, </w:t>
      </w:r>
      <w:r w:rsidRPr="00E95223">
        <w:rPr>
          <w:rFonts w:hint="eastAsia"/>
        </w:rPr>
        <w:t>however</w:t>
      </w:r>
      <w:r w:rsidRPr="00E95223">
        <w:t xml:space="preserve">, further guidance is still required regarding </w:t>
      </w:r>
      <w:r w:rsidRPr="00E95223">
        <w:rPr>
          <w:rFonts w:hint="eastAsia"/>
        </w:rPr>
        <w:t>the</w:t>
      </w:r>
      <w:r w:rsidRPr="00E95223">
        <w:t xml:space="preserve"> </w:t>
      </w:r>
      <w:r w:rsidRPr="00E95223">
        <w:rPr>
          <w:rFonts w:hint="eastAsia"/>
        </w:rPr>
        <w:t>Credit Metho</w:t>
      </w:r>
      <w:r w:rsidRPr="00E95223">
        <w:t>d. There is also a lack of clarity as to how t</w:t>
      </w:r>
      <w:r w:rsidRPr="00E95223">
        <w:rPr>
          <w:rFonts w:hint="eastAsia"/>
        </w:rPr>
        <w:t>he CFC</w:t>
      </w:r>
      <w:r w:rsidRPr="00E95223">
        <w:t xml:space="preserve"> R</w:t>
      </w:r>
      <w:r w:rsidRPr="00E95223">
        <w:rPr>
          <w:rFonts w:hint="eastAsia"/>
        </w:rPr>
        <w:t xml:space="preserve">ules </w:t>
      </w:r>
      <w:r w:rsidRPr="00E95223">
        <w:t xml:space="preserve">would </w:t>
      </w:r>
      <w:r w:rsidRPr="00E95223">
        <w:rPr>
          <w:rFonts w:hint="eastAsia"/>
        </w:rPr>
        <w:t>work under the framework of GLoBE Rules</w:t>
      </w:r>
      <w:r w:rsidRPr="00E95223">
        <w:t xml:space="preserve">. </w:t>
      </w:r>
      <w:r w:rsidRPr="00E95223">
        <w:rPr>
          <w:rFonts w:hint="eastAsia"/>
        </w:rPr>
        <w:t xml:space="preserve">There are </w:t>
      </w:r>
      <w:r w:rsidRPr="00E95223">
        <w:t xml:space="preserve">many </w:t>
      </w:r>
      <w:r w:rsidRPr="00E95223">
        <w:rPr>
          <w:rFonts w:hint="eastAsia"/>
        </w:rPr>
        <w:t>similarities between CFC</w:t>
      </w:r>
      <w:r w:rsidRPr="00E95223">
        <w:t xml:space="preserve"> </w:t>
      </w:r>
      <w:r w:rsidRPr="00E95223">
        <w:rPr>
          <w:rFonts w:hint="eastAsia"/>
        </w:rPr>
        <w:t>rules and</w:t>
      </w:r>
      <w:r w:rsidRPr="00E95223">
        <w:t xml:space="preserve"> </w:t>
      </w:r>
      <w:r w:rsidRPr="00E95223">
        <w:rPr>
          <w:rFonts w:hint="eastAsia"/>
        </w:rPr>
        <w:t>IIR</w:t>
      </w:r>
      <w:r w:rsidRPr="00E95223">
        <w:t xml:space="preserve">, therefore </w:t>
      </w:r>
      <w:r w:rsidRPr="00E95223">
        <w:rPr>
          <w:rFonts w:hint="eastAsia"/>
        </w:rPr>
        <w:t xml:space="preserve">after </w:t>
      </w:r>
      <w:r w:rsidRPr="00E95223">
        <w:t>transposing</w:t>
      </w:r>
      <w:r w:rsidRPr="00E95223">
        <w:rPr>
          <w:rFonts w:hint="eastAsia"/>
        </w:rPr>
        <w:t xml:space="preserve"> the GLoBE Rules into the domestic law</w:t>
      </w:r>
      <w:r w:rsidRPr="00E95223">
        <w:t>, various challenges/questions may arise.  F</w:t>
      </w:r>
      <w:r w:rsidRPr="00E95223">
        <w:rPr>
          <w:rFonts w:hint="eastAsia"/>
        </w:rPr>
        <w:t>or example</w:t>
      </w:r>
      <w:r w:rsidRPr="00E95223">
        <w:t xml:space="preserve">, </w:t>
      </w:r>
      <w:r w:rsidRPr="00E95223">
        <w:rPr>
          <w:rFonts w:hint="eastAsia"/>
        </w:rPr>
        <w:t>will the two rules co</w:t>
      </w:r>
      <w:r w:rsidRPr="00E95223">
        <w:t>-</w:t>
      </w:r>
      <w:r w:rsidRPr="00E95223">
        <w:rPr>
          <w:rFonts w:hint="eastAsia"/>
        </w:rPr>
        <w:t>exist</w:t>
      </w:r>
      <w:r w:rsidRPr="00E95223">
        <w:t xml:space="preserve">, </w:t>
      </w:r>
      <w:r w:rsidRPr="00E95223">
        <w:rPr>
          <w:rFonts w:hint="eastAsia"/>
        </w:rPr>
        <w:t xml:space="preserve">or </w:t>
      </w:r>
      <w:r w:rsidRPr="00E95223">
        <w:t>will</w:t>
      </w:r>
      <w:r w:rsidRPr="00E95223">
        <w:rPr>
          <w:rFonts w:hint="eastAsia"/>
        </w:rPr>
        <w:t xml:space="preserve"> the Glo</w:t>
      </w:r>
      <w:r w:rsidRPr="00E95223">
        <w:t>BE Rules replace the CFC Rules as a new domestic law? Further guidance will be needed in this respect.</w:t>
      </w:r>
    </w:p>
    <w:p w14:paraId="5AA24AC1" w14:textId="77777777" w:rsidR="00033A7A" w:rsidRPr="00E95223" w:rsidRDefault="00033A7A" w:rsidP="00033A7A">
      <w:pPr>
        <w:pStyle w:val="Liststycke"/>
        <w:numPr>
          <w:ilvl w:val="0"/>
          <w:numId w:val="11"/>
        </w:numPr>
        <w:spacing w:after="0"/>
      </w:pPr>
      <w:r w:rsidRPr="00E95223">
        <w:rPr>
          <w:rFonts w:hint="eastAsia"/>
        </w:rPr>
        <w:t>S</w:t>
      </w:r>
      <w:r w:rsidRPr="00E95223">
        <w:t xml:space="preserve">econdly, further clarification is needed regarding how countries or regions would adjust their tax preferential </w:t>
      </w:r>
      <w:r w:rsidRPr="00E95223">
        <w:rPr>
          <w:rFonts w:hint="eastAsia"/>
        </w:rPr>
        <w:t>regime</w:t>
      </w:r>
      <w:r w:rsidRPr="00E95223">
        <w:t xml:space="preserve">s. </w:t>
      </w:r>
      <w:r w:rsidRPr="00E95223">
        <w:rPr>
          <w:rFonts w:hint="eastAsia"/>
        </w:rPr>
        <w:t>P</w:t>
      </w:r>
      <w:r w:rsidRPr="00E95223">
        <w:t xml:space="preserve">referential </w:t>
      </w:r>
      <w:r w:rsidRPr="00E95223">
        <w:rPr>
          <w:rFonts w:hint="eastAsia"/>
        </w:rPr>
        <w:t>regime</w:t>
      </w:r>
      <w:r w:rsidRPr="00E95223">
        <w:t>s are recognised</w:t>
      </w:r>
      <w:r w:rsidRPr="00E95223">
        <w:rPr>
          <w:rFonts w:hint="eastAsia"/>
        </w:rPr>
        <w:t xml:space="preserve"> as an important method to attract FDI</w:t>
      </w:r>
      <w:r w:rsidRPr="00E95223">
        <w:t>, particularly</w:t>
      </w:r>
      <w:r w:rsidRPr="00E95223">
        <w:rPr>
          <w:rFonts w:hint="eastAsia"/>
        </w:rPr>
        <w:t xml:space="preserve"> for developing countries</w:t>
      </w:r>
      <w:r w:rsidRPr="00E95223">
        <w:t>. S</w:t>
      </w:r>
      <w:r w:rsidRPr="00E95223">
        <w:rPr>
          <w:rFonts w:hint="eastAsia"/>
        </w:rPr>
        <w:t xml:space="preserve">ome </w:t>
      </w:r>
      <w:r w:rsidRPr="00E95223">
        <w:t xml:space="preserve">economic </w:t>
      </w:r>
      <w:r w:rsidRPr="00E95223">
        <w:rPr>
          <w:rFonts w:hint="eastAsia"/>
        </w:rPr>
        <w:t xml:space="preserve">activities can be </w:t>
      </w:r>
      <w:r w:rsidRPr="00E95223">
        <w:t xml:space="preserve">excluded </w:t>
      </w:r>
      <w:r w:rsidRPr="00E95223">
        <w:rPr>
          <w:rFonts w:hint="eastAsia"/>
        </w:rPr>
        <w:t xml:space="preserve">according to </w:t>
      </w:r>
      <w:r w:rsidRPr="00E95223">
        <w:t xml:space="preserve">economic substance, however further </w:t>
      </w:r>
      <w:r w:rsidRPr="00E95223">
        <w:rPr>
          <w:rFonts w:hint="eastAsia"/>
        </w:rPr>
        <w:t xml:space="preserve">details should be </w:t>
      </w:r>
      <w:r w:rsidRPr="00E95223">
        <w:t>provided in this context.</w:t>
      </w:r>
    </w:p>
    <w:p w14:paraId="67EC6C09" w14:textId="77777777" w:rsidR="00CD52E1" w:rsidRDefault="00CD52E1" w:rsidP="00DD0AE4">
      <w:pPr>
        <w:spacing w:after="0"/>
      </w:pPr>
    </w:p>
    <w:p w14:paraId="73F97F84" w14:textId="77777777" w:rsidR="00CD52E1" w:rsidRDefault="00CD52E1" w:rsidP="00DD0AE4">
      <w:pPr>
        <w:spacing w:after="0"/>
        <w:ind w:firstLine="480"/>
      </w:pPr>
    </w:p>
    <w:p w14:paraId="459DDA85" w14:textId="4D5EEBF1" w:rsidR="00CD52E1" w:rsidRPr="000C66A9" w:rsidRDefault="00CD52E1" w:rsidP="00DD0AE4">
      <w:pPr>
        <w:pStyle w:val="Liststycke"/>
        <w:numPr>
          <w:ilvl w:val="0"/>
          <w:numId w:val="3"/>
        </w:numPr>
        <w:spacing w:after="0"/>
        <w:rPr>
          <w:b/>
          <w:bCs/>
          <w:color w:val="00B0F0"/>
        </w:rPr>
      </w:pPr>
      <w:r w:rsidRPr="000C66A9">
        <w:rPr>
          <w:b/>
          <w:bCs/>
          <w:color w:val="00B0F0"/>
        </w:rPr>
        <w:t>Do you have any comments relating to filing, information collection including reporting systems and record keeping? In particular do you have any views on how the design of the information collection, filing obligations and record keeping requirements under GloBE could be designed to maximise efficiency, accuracy and verifiability of information reporting while taking into account compliance costs?</w:t>
      </w:r>
    </w:p>
    <w:p w14:paraId="53D50BFD" w14:textId="77777777" w:rsidR="00CD52E1" w:rsidRDefault="00CD52E1" w:rsidP="00DD0AE4">
      <w:pPr>
        <w:spacing w:after="0"/>
        <w:ind w:firstLine="480"/>
      </w:pPr>
    </w:p>
    <w:p w14:paraId="346BFE92" w14:textId="3D1D9F42" w:rsidR="0047140D" w:rsidRDefault="005B4E36" w:rsidP="005B4E36">
      <w:pPr>
        <w:pStyle w:val="Liststycke"/>
        <w:numPr>
          <w:ilvl w:val="0"/>
          <w:numId w:val="9"/>
        </w:numPr>
        <w:spacing w:after="0"/>
        <w:ind w:left="1080"/>
        <w:contextualSpacing w:val="0"/>
        <w:rPr>
          <w:rFonts w:eastAsia="Times New Roman"/>
        </w:rPr>
      </w:pPr>
      <w:r>
        <w:rPr>
          <w:rFonts w:eastAsia="Times New Roman"/>
        </w:rPr>
        <w:t>ICC members welcome</w:t>
      </w:r>
      <w:r w:rsidR="0047140D">
        <w:rPr>
          <w:rFonts w:eastAsia="Times New Roman"/>
        </w:rPr>
        <w:t xml:space="preserve"> the inclusion in the Model Rules (Article 8.1.2) of a compliance system in which MNEs will be subject to one central filing requirement for their Pillar Two return globally, in the UPE’s jurisdiction, in cases in which that jurisdiction has a bilateral or multilateral agreement or arrangement in effect to automatically exchange the GloBE Information Return with the jurisdiction of the Constituent Entity </w:t>
      </w:r>
    </w:p>
    <w:p w14:paraId="2E11F9FC" w14:textId="5BC00903" w:rsidR="0047140D" w:rsidRDefault="0047140D" w:rsidP="005B4E36">
      <w:pPr>
        <w:pStyle w:val="Liststycke"/>
        <w:numPr>
          <w:ilvl w:val="0"/>
          <w:numId w:val="9"/>
        </w:numPr>
        <w:spacing w:after="0"/>
        <w:ind w:left="1080"/>
        <w:contextualSpacing w:val="0"/>
        <w:rPr>
          <w:rFonts w:eastAsia="Times New Roman"/>
        </w:rPr>
      </w:pPr>
      <w:r>
        <w:rPr>
          <w:rFonts w:eastAsia="Times New Roman"/>
        </w:rPr>
        <w:t xml:space="preserve">However, </w:t>
      </w:r>
      <w:r w:rsidR="00552E13">
        <w:rPr>
          <w:rFonts w:eastAsia="Times New Roman"/>
        </w:rPr>
        <w:t xml:space="preserve">ICC believes that </w:t>
      </w:r>
      <w:r>
        <w:rPr>
          <w:rFonts w:eastAsia="Times New Roman"/>
        </w:rPr>
        <w:t>the Implementation Framework must provide that:</w:t>
      </w:r>
    </w:p>
    <w:p w14:paraId="02B01550" w14:textId="77777777" w:rsidR="0047140D" w:rsidRDefault="0047140D" w:rsidP="005B4E36">
      <w:pPr>
        <w:pStyle w:val="Liststycke"/>
        <w:numPr>
          <w:ilvl w:val="1"/>
          <w:numId w:val="9"/>
        </w:numPr>
        <w:spacing w:after="0"/>
        <w:ind w:left="1800"/>
        <w:contextualSpacing w:val="0"/>
        <w:rPr>
          <w:rFonts w:eastAsia="Times New Roman"/>
        </w:rPr>
      </w:pPr>
      <w:r>
        <w:rPr>
          <w:rFonts w:eastAsia="Times New Roman"/>
        </w:rPr>
        <w:t>The central return will only be subject to one audit process administered by the UPE jurisdiction</w:t>
      </w:r>
    </w:p>
    <w:p w14:paraId="382E4C98" w14:textId="77777777" w:rsidR="0047140D" w:rsidRDefault="0047140D" w:rsidP="005B4E36">
      <w:pPr>
        <w:pStyle w:val="Liststycke"/>
        <w:numPr>
          <w:ilvl w:val="1"/>
          <w:numId w:val="9"/>
        </w:numPr>
        <w:spacing w:after="0"/>
        <w:ind w:left="1800"/>
        <w:contextualSpacing w:val="0"/>
        <w:rPr>
          <w:rFonts w:eastAsia="Times New Roman"/>
        </w:rPr>
      </w:pPr>
      <w:r>
        <w:rPr>
          <w:rFonts w:eastAsia="Times New Roman"/>
        </w:rPr>
        <w:t>MNEs are not expected to provide any information directly to any tax authority other than the UPE jurisdiction. Rather governments and tax authorities should be required to make an exchange of information request under existing bi-lateral arrangements and ensure confidentiality is maintained for any information provided</w:t>
      </w:r>
    </w:p>
    <w:p w14:paraId="633D3557" w14:textId="5DB66838" w:rsidR="0047140D" w:rsidRDefault="002D7F64" w:rsidP="005B4E36">
      <w:pPr>
        <w:pStyle w:val="Liststycke"/>
        <w:numPr>
          <w:ilvl w:val="1"/>
          <w:numId w:val="9"/>
        </w:numPr>
        <w:spacing w:after="0"/>
        <w:ind w:left="1800"/>
        <w:contextualSpacing w:val="0"/>
        <w:rPr>
          <w:rFonts w:eastAsia="Times New Roman"/>
        </w:rPr>
      </w:pPr>
      <w:r>
        <w:rPr>
          <w:rFonts w:eastAsia="Times New Roman"/>
        </w:rPr>
        <w:t>T</w:t>
      </w:r>
      <w:r w:rsidR="0047140D">
        <w:rPr>
          <w:rFonts w:eastAsia="Times New Roman"/>
        </w:rPr>
        <w:t>here should be clear rules limiting the type of information that may be requested, in line with the limitations that currently apply to information exchange. Requests for privileged information, confidential business data, contracts, and third-party information (subject to notification) should be limited according to the laws of the lead tax authority’s jurisdiction.</w:t>
      </w:r>
    </w:p>
    <w:p w14:paraId="3E343E72" w14:textId="77777777" w:rsidR="0047140D" w:rsidRDefault="0047140D" w:rsidP="005B4E36">
      <w:pPr>
        <w:pStyle w:val="Liststycke"/>
        <w:numPr>
          <w:ilvl w:val="0"/>
          <w:numId w:val="9"/>
        </w:numPr>
        <w:spacing w:after="0"/>
        <w:ind w:left="1080"/>
        <w:contextualSpacing w:val="0"/>
        <w:rPr>
          <w:rFonts w:eastAsia="Times New Roman"/>
        </w:rPr>
      </w:pPr>
      <w:r>
        <w:rPr>
          <w:rFonts w:eastAsia="Times New Roman"/>
        </w:rPr>
        <w:t xml:space="preserve">It is essential that the deadlines for preparing GloBE returns and the making of payments in relation to any GloBE liabilities are aligned, so that liabilities are not payable until GloBE returns are completed. </w:t>
      </w:r>
    </w:p>
    <w:p w14:paraId="754C6E35" w14:textId="272279F3" w:rsidR="0047140D" w:rsidRDefault="0047140D" w:rsidP="005B4E36">
      <w:pPr>
        <w:pStyle w:val="Liststycke"/>
        <w:numPr>
          <w:ilvl w:val="0"/>
          <w:numId w:val="9"/>
        </w:numPr>
        <w:spacing w:after="0"/>
        <w:ind w:left="1080"/>
        <w:contextualSpacing w:val="0"/>
        <w:rPr>
          <w:rFonts w:eastAsia="Times New Roman"/>
        </w:rPr>
      </w:pPr>
      <w:r>
        <w:rPr>
          <w:rFonts w:eastAsia="Times New Roman"/>
        </w:rPr>
        <w:t xml:space="preserve">Article 8.1.3 requires a Constituent Entity (either directly or through a Designated Local Entity) to notify its local tax administration of the identity and location of the UPE or the Designated Filing Entity that will be filing the GloBE Information Return. As seen with a similar requirement under CbCR, in practice this notification requirement will impose a significant administration burden upon </w:t>
      </w:r>
      <w:r w:rsidR="00BB1817">
        <w:rPr>
          <w:rFonts w:eastAsia="Times New Roman"/>
        </w:rPr>
        <w:t>taxpayers</w:t>
      </w:r>
      <w:r>
        <w:rPr>
          <w:rFonts w:eastAsia="Times New Roman"/>
        </w:rPr>
        <w:t>.</w:t>
      </w:r>
    </w:p>
    <w:p w14:paraId="5E62184B" w14:textId="0202EE6D" w:rsidR="001D7F4C" w:rsidRPr="001D7F4C" w:rsidRDefault="001D7F4C" w:rsidP="001D7F4C">
      <w:pPr>
        <w:pStyle w:val="Liststycke"/>
        <w:numPr>
          <w:ilvl w:val="0"/>
          <w:numId w:val="9"/>
        </w:numPr>
        <w:spacing w:after="0"/>
        <w:ind w:left="1080"/>
        <w:rPr>
          <w:rFonts w:eastAsia="Times New Roman"/>
        </w:rPr>
      </w:pPr>
      <w:r w:rsidRPr="001D7F4C">
        <w:rPr>
          <w:rFonts w:eastAsia="Times New Roman"/>
        </w:rPr>
        <w:t>Given the unprecedented complexity and uniqueness of the systems/processes that will need to be put in place to ensure GloBE compliance, there should be a sufficiently long ‘soft-landing’ period (</w:t>
      </w:r>
      <w:r w:rsidR="00BB1817" w:rsidRPr="001D7F4C">
        <w:rPr>
          <w:rFonts w:eastAsia="Times New Roman"/>
        </w:rPr>
        <w:t>i.e.,</w:t>
      </w:r>
      <w:r w:rsidRPr="001D7F4C">
        <w:rPr>
          <w:rFonts w:eastAsia="Times New Roman"/>
        </w:rPr>
        <w:t xml:space="preserve"> no penalties and no late payment interest) for businesses to develop, test and implement such systems. This will take significant time and resources.   </w:t>
      </w:r>
    </w:p>
    <w:p w14:paraId="3D571E81" w14:textId="5AB0EDD1" w:rsidR="001D7F4C" w:rsidRDefault="001D7F4C" w:rsidP="001D7F4C">
      <w:pPr>
        <w:pStyle w:val="Liststycke"/>
        <w:numPr>
          <w:ilvl w:val="0"/>
          <w:numId w:val="9"/>
        </w:numPr>
        <w:spacing w:after="0"/>
        <w:ind w:left="1080"/>
        <w:contextualSpacing w:val="0"/>
        <w:rPr>
          <w:rFonts w:eastAsia="Times New Roman"/>
        </w:rPr>
      </w:pPr>
      <w:r w:rsidRPr="001D7F4C">
        <w:rPr>
          <w:rFonts w:eastAsia="Times New Roman"/>
        </w:rPr>
        <w:t>The Commentary indicates that the standard template of the GloBE Information Return is expected to contain all required information to verify compliance with the GloBE rules but that this does not prevent a local tax administration from requesting further necessary supporting information to ver</w:t>
      </w:r>
      <w:r w:rsidR="00397963">
        <w:rPr>
          <w:rFonts w:eastAsia="Times New Roman"/>
        </w:rPr>
        <w:t>if</w:t>
      </w:r>
      <w:r w:rsidRPr="001D7F4C">
        <w:rPr>
          <w:rFonts w:eastAsia="Times New Roman"/>
        </w:rPr>
        <w:t xml:space="preserve">y compliance in accordance with its domestic law (Commentary to Article 8.1.4, paragraph 13).  To prevent fishing expeditions, there should be clear guidance (and boundaries) as to what information can reasonably be requested by a local tax administration over and above the information contained in the template and under what circumstances.   </w:t>
      </w:r>
    </w:p>
    <w:p w14:paraId="5E6C0A73" w14:textId="77777777" w:rsidR="005B4E36" w:rsidRDefault="005B4E36" w:rsidP="005B4E36">
      <w:pPr>
        <w:pStyle w:val="Liststycke"/>
        <w:spacing w:after="0"/>
        <w:ind w:left="360"/>
        <w:contextualSpacing w:val="0"/>
        <w:rPr>
          <w:rFonts w:eastAsia="Times New Roman"/>
        </w:rPr>
      </w:pPr>
    </w:p>
    <w:p w14:paraId="0462DB2E" w14:textId="77777777" w:rsidR="00CD52E1" w:rsidRDefault="00CD52E1" w:rsidP="00DD0AE4">
      <w:pPr>
        <w:spacing w:after="0"/>
        <w:ind w:firstLine="480"/>
      </w:pPr>
    </w:p>
    <w:p w14:paraId="5F7F1FD8" w14:textId="18993685" w:rsidR="00CD52E1" w:rsidRPr="000C66A9" w:rsidRDefault="00CD52E1" w:rsidP="00DD0AE4">
      <w:pPr>
        <w:pStyle w:val="Liststycke"/>
        <w:numPr>
          <w:ilvl w:val="0"/>
          <w:numId w:val="3"/>
        </w:numPr>
        <w:spacing w:after="0"/>
        <w:rPr>
          <w:b/>
          <w:bCs/>
          <w:color w:val="00B0F0"/>
        </w:rPr>
      </w:pPr>
      <w:r w:rsidRPr="000C66A9">
        <w:rPr>
          <w:b/>
          <w:bCs/>
          <w:color w:val="00B0F0"/>
        </w:rPr>
        <w:t>Do you have any suggestions on measures to reduce compliance costs for MNEs including through simplifications and the use of safe-harbours?</w:t>
      </w:r>
    </w:p>
    <w:p w14:paraId="2AF57AC9" w14:textId="77777777" w:rsidR="00CD52E1" w:rsidRDefault="00CD52E1" w:rsidP="00DD0AE4">
      <w:pPr>
        <w:spacing w:after="0"/>
        <w:ind w:firstLine="480"/>
      </w:pPr>
    </w:p>
    <w:p w14:paraId="56F80B44" w14:textId="77777777" w:rsidR="000B21C8" w:rsidRPr="000B21C8" w:rsidRDefault="000B21C8" w:rsidP="000B21C8">
      <w:pPr>
        <w:pStyle w:val="Liststycke"/>
        <w:numPr>
          <w:ilvl w:val="0"/>
          <w:numId w:val="9"/>
        </w:numPr>
        <w:spacing w:after="0"/>
        <w:ind w:left="1080"/>
        <w:rPr>
          <w:rFonts w:eastAsia="Times New Roman"/>
          <w:u w:val="single"/>
        </w:rPr>
      </w:pPr>
      <w:r w:rsidRPr="000B21C8">
        <w:rPr>
          <w:rFonts w:eastAsia="Times New Roman"/>
          <w:u w:val="single"/>
        </w:rPr>
        <w:t>Simplifications:</w:t>
      </w:r>
    </w:p>
    <w:p w14:paraId="04D504AD" w14:textId="0957943C" w:rsidR="000B21C8" w:rsidRPr="000B21C8" w:rsidRDefault="00443857" w:rsidP="000B21C8">
      <w:pPr>
        <w:pStyle w:val="Liststycke"/>
        <w:spacing w:after="0"/>
        <w:ind w:left="1080"/>
        <w:rPr>
          <w:rFonts w:eastAsia="Times New Roman"/>
        </w:rPr>
      </w:pPr>
      <w:r>
        <w:rPr>
          <w:rFonts w:eastAsia="Times New Roman"/>
        </w:rPr>
        <w:t>ICC members believe that a</w:t>
      </w:r>
      <w:r w:rsidR="000B21C8" w:rsidRPr="000B21C8">
        <w:rPr>
          <w:rFonts w:eastAsia="Times New Roman"/>
        </w:rPr>
        <w:t>bandoning the requirement to recast deferred tax at 15% would simplify compliance.</w:t>
      </w:r>
    </w:p>
    <w:p w14:paraId="47FD429E" w14:textId="77777777" w:rsidR="000B21C8" w:rsidRDefault="000B21C8" w:rsidP="000B21C8">
      <w:pPr>
        <w:pStyle w:val="Liststycke"/>
        <w:spacing w:after="0"/>
        <w:ind w:left="1080"/>
        <w:rPr>
          <w:rFonts w:eastAsia="Times New Roman"/>
        </w:rPr>
      </w:pPr>
    </w:p>
    <w:p w14:paraId="7B211392" w14:textId="167B907B" w:rsidR="000B21C8" w:rsidRDefault="009F6AD7" w:rsidP="000B21C8">
      <w:pPr>
        <w:pStyle w:val="Liststycke"/>
        <w:spacing w:after="0"/>
        <w:ind w:left="1080"/>
        <w:rPr>
          <w:rFonts w:eastAsia="Times New Roman"/>
        </w:rPr>
      </w:pPr>
      <w:r>
        <w:rPr>
          <w:rFonts w:eastAsia="Times New Roman"/>
        </w:rPr>
        <w:t xml:space="preserve">ICC members </w:t>
      </w:r>
      <w:r w:rsidR="000B21C8" w:rsidRPr="000B21C8">
        <w:rPr>
          <w:rFonts w:eastAsia="Times New Roman"/>
        </w:rPr>
        <w:t xml:space="preserve">support </w:t>
      </w:r>
      <w:r>
        <w:rPr>
          <w:rFonts w:eastAsia="Times New Roman"/>
        </w:rPr>
        <w:t>suggestions</w:t>
      </w:r>
      <w:r w:rsidR="000B21C8" w:rsidRPr="000B21C8">
        <w:rPr>
          <w:rFonts w:eastAsia="Times New Roman"/>
        </w:rPr>
        <w:t xml:space="preserve"> to include an election to exclude deferred tax (both DTLs and DTAs) from the definition of covered taxes as a simplification measure. This election could be optional to </w:t>
      </w:r>
      <w:r w:rsidR="00BB1817" w:rsidRPr="000B21C8">
        <w:rPr>
          <w:rFonts w:eastAsia="Times New Roman"/>
        </w:rPr>
        <w:t>make but</w:t>
      </w:r>
      <w:r w:rsidR="000B21C8" w:rsidRPr="000B21C8">
        <w:rPr>
          <w:rFonts w:eastAsia="Times New Roman"/>
        </w:rPr>
        <w:t xml:space="preserve"> could be irrevocable for a period longer than one year to prevent businesses opting in and out depending on their deferred tax position in a particular period. </w:t>
      </w:r>
    </w:p>
    <w:p w14:paraId="34404F08" w14:textId="77777777" w:rsidR="00EB65C2" w:rsidRDefault="00EB65C2" w:rsidP="000B21C8">
      <w:pPr>
        <w:pStyle w:val="Liststycke"/>
        <w:spacing w:after="0"/>
        <w:ind w:left="1080"/>
        <w:rPr>
          <w:rFonts w:eastAsia="Times New Roman"/>
        </w:rPr>
      </w:pPr>
    </w:p>
    <w:p w14:paraId="77AD9405" w14:textId="77777777" w:rsidR="00053E6C" w:rsidRPr="0024225A" w:rsidRDefault="00053E6C" w:rsidP="0024225A">
      <w:pPr>
        <w:pStyle w:val="Liststycke"/>
        <w:numPr>
          <w:ilvl w:val="0"/>
          <w:numId w:val="10"/>
        </w:numPr>
        <w:spacing w:after="0"/>
        <w:ind w:left="1080" w:hanging="240"/>
        <w:rPr>
          <w:rFonts w:eastAsia="Times New Roman"/>
          <w:u w:val="single"/>
        </w:rPr>
      </w:pPr>
      <w:r w:rsidRPr="0024225A">
        <w:rPr>
          <w:rFonts w:eastAsia="Times New Roman"/>
          <w:u w:val="single"/>
        </w:rPr>
        <w:t>Safe harbour options:</w:t>
      </w:r>
    </w:p>
    <w:p w14:paraId="588A9565" w14:textId="3F946B08" w:rsidR="00813C44" w:rsidRDefault="00813C44" w:rsidP="00813C44">
      <w:pPr>
        <w:pStyle w:val="Liststycke"/>
        <w:numPr>
          <w:ilvl w:val="0"/>
          <w:numId w:val="12"/>
        </w:numPr>
        <w:spacing w:after="0"/>
        <w:ind w:left="1170"/>
        <w:rPr>
          <w:rFonts w:eastAsia="Times New Roman"/>
        </w:rPr>
      </w:pPr>
      <w:r w:rsidRPr="00813C44">
        <w:rPr>
          <w:rFonts w:eastAsia="Times New Roman"/>
        </w:rPr>
        <w:t>ICC notes that development of broad, simple and administrable safe harbours is vital to the administrability of the GloBE rules and to the ability of MNEs to manage the overwhelming complexity and additional compliance posed by the rules. The delay in releasing the safe harbours may significantly impede the ability of MNEs to implement the systems and process changes necessary to meet the aggressive implementation and compliance timeline</w:t>
      </w:r>
      <w:r w:rsidR="00212B31">
        <w:rPr>
          <w:rFonts w:eastAsia="Times New Roman"/>
        </w:rPr>
        <w:t>.</w:t>
      </w:r>
    </w:p>
    <w:p w14:paraId="597305F8" w14:textId="77777777" w:rsidR="00212B31" w:rsidRPr="00813C44" w:rsidRDefault="00212B31" w:rsidP="00212B31">
      <w:pPr>
        <w:pStyle w:val="Liststycke"/>
        <w:spacing w:after="0"/>
        <w:ind w:left="1170"/>
        <w:rPr>
          <w:rFonts w:eastAsia="Times New Roman"/>
        </w:rPr>
      </w:pPr>
    </w:p>
    <w:p w14:paraId="4DBFF20E" w14:textId="48D4E61D" w:rsidR="00813C44" w:rsidRDefault="002078A6" w:rsidP="00CE6A4A">
      <w:pPr>
        <w:pStyle w:val="Liststycke"/>
        <w:numPr>
          <w:ilvl w:val="0"/>
          <w:numId w:val="12"/>
        </w:numPr>
        <w:spacing w:after="0"/>
        <w:ind w:left="1170"/>
        <w:rPr>
          <w:rFonts w:eastAsia="Times New Roman"/>
        </w:rPr>
      </w:pPr>
      <w:r w:rsidRPr="00CE6A4A">
        <w:rPr>
          <w:rFonts w:eastAsia="Times New Roman"/>
        </w:rPr>
        <w:t>ICC members believe</w:t>
      </w:r>
      <w:r w:rsidR="00CE6A4A">
        <w:rPr>
          <w:rFonts w:eastAsia="Times New Roman"/>
        </w:rPr>
        <w:t xml:space="preserve"> </w:t>
      </w:r>
      <w:r w:rsidRPr="00CE6A4A">
        <w:rPr>
          <w:rFonts w:eastAsia="Times New Roman"/>
        </w:rPr>
        <w:t>that s</w:t>
      </w:r>
      <w:r w:rsidR="00053E6C" w:rsidRPr="00CE6A4A">
        <w:rPr>
          <w:rFonts w:eastAsia="Times New Roman"/>
        </w:rPr>
        <w:t>afe harbours are crucial to reducing compliance costs.  Multiple safe harbours at the election of the taxpayer are more likely to achieve this</w:t>
      </w:r>
      <w:r w:rsidR="00813C44" w:rsidRPr="00CE6A4A">
        <w:rPr>
          <w:rFonts w:eastAsia="Times New Roman"/>
        </w:rPr>
        <w:t xml:space="preserve">.  </w:t>
      </w:r>
    </w:p>
    <w:p w14:paraId="574A3D69" w14:textId="77777777" w:rsidR="00212B31" w:rsidRPr="00212B31" w:rsidRDefault="00212B31" w:rsidP="00212B31">
      <w:pPr>
        <w:pStyle w:val="Liststycke"/>
        <w:rPr>
          <w:rFonts w:eastAsia="Times New Roman"/>
        </w:rPr>
      </w:pPr>
    </w:p>
    <w:p w14:paraId="2CC93F76" w14:textId="77777777" w:rsidR="00212B31" w:rsidRDefault="008A7177" w:rsidP="00212B31">
      <w:pPr>
        <w:pStyle w:val="Liststycke"/>
        <w:numPr>
          <w:ilvl w:val="0"/>
          <w:numId w:val="12"/>
        </w:numPr>
        <w:spacing w:after="0"/>
        <w:ind w:left="1170"/>
        <w:rPr>
          <w:rFonts w:eastAsia="Times New Roman"/>
        </w:rPr>
      </w:pPr>
      <w:r>
        <w:rPr>
          <w:rFonts w:eastAsia="Times New Roman"/>
        </w:rPr>
        <w:t>ICC members suggest that a</w:t>
      </w:r>
      <w:r w:rsidR="00053E6C" w:rsidRPr="00053E6C">
        <w:rPr>
          <w:rFonts w:eastAsia="Times New Roman"/>
        </w:rPr>
        <w:t xml:space="preserve"> CbCR safe harbour may have significant merit.  One approach </w:t>
      </w:r>
      <w:r w:rsidR="00AE3BB1">
        <w:rPr>
          <w:rFonts w:eastAsia="Times New Roman"/>
        </w:rPr>
        <w:t>supported by ICC members co</w:t>
      </w:r>
      <w:r w:rsidR="00053E6C" w:rsidRPr="00053E6C">
        <w:rPr>
          <w:rFonts w:eastAsia="Times New Roman"/>
        </w:rPr>
        <w:t>uld be a tiered approach, with a simplified safe harbour process for MNEs with a CbCR ETR above the 15% minimum rate, such that any GloBE adjustments from CbCR would be unlikely to bring it below that rate.  A more detailed calculation, taking into account key adjustments between CbCR and GloBE, could be required where the CbCR ETR is below the 15% rate. A further CbCR safe harbour could apply where a group can demonstrate that the average CbCR rate over the preceding five years is equal to or greater than 15%.</w:t>
      </w:r>
    </w:p>
    <w:p w14:paraId="4A6E86DB" w14:textId="77777777" w:rsidR="00212B31" w:rsidRPr="00212B31" w:rsidRDefault="00212B31" w:rsidP="00212B31">
      <w:pPr>
        <w:pStyle w:val="Liststycke"/>
        <w:rPr>
          <w:rFonts w:eastAsia="Times New Roman"/>
        </w:rPr>
      </w:pPr>
    </w:p>
    <w:p w14:paraId="6FE91644" w14:textId="3728A185" w:rsidR="00212B31" w:rsidRPr="00212B31" w:rsidRDefault="00212B31" w:rsidP="00212B31">
      <w:pPr>
        <w:pStyle w:val="Liststycke"/>
        <w:numPr>
          <w:ilvl w:val="0"/>
          <w:numId w:val="12"/>
        </w:numPr>
        <w:spacing w:after="0"/>
        <w:ind w:left="1170"/>
        <w:rPr>
          <w:rFonts w:eastAsia="Times New Roman"/>
        </w:rPr>
      </w:pPr>
      <w:r w:rsidRPr="00212B31">
        <w:rPr>
          <w:rFonts w:eastAsia="Times New Roman"/>
        </w:rPr>
        <w:t>Article 9.1.3 provides a limitation on intragroup asset transfers before applicability of the GloBE Rules. If an asset is transferred between entities after 30 November 2021 and before the Transition Year of a MNE Group, such asset must be recorded at its historic carrying value for GloBE purposes to limit the ability to step-up the basis in such assets without including the resulting gain in the computation of GloBE Income or Loss.  This provision applies whether or not tax is paid on the intra-group asset transfer, as for example could be the case in integrating newly acquired assets.  ICC believes that consideration should be given to including a safe-harbour that would disapply this restriction in cases in which assets are transferred and tax is paid on the gain arising on the transfer.</w:t>
      </w:r>
    </w:p>
    <w:p w14:paraId="7573D353" w14:textId="77777777" w:rsidR="00212B31" w:rsidRDefault="00212B31" w:rsidP="00212B31">
      <w:pPr>
        <w:pStyle w:val="Liststycke"/>
        <w:spacing w:after="0"/>
        <w:ind w:left="1170"/>
        <w:rPr>
          <w:rFonts w:eastAsia="Times New Roman"/>
        </w:rPr>
      </w:pPr>
    </w:p>
    <w:p w14:paraId="2B3A8499" w14:textId="457B7064" w:rsidR="00053E6C" w:rsidRPr="002078A6" w:rsidRDefault="00053E6C" w:rsidP="002078A6">
      <w:pPr>
        <w:pStyle w:val="Liststycke"/>
        <w:numPr>
          <w:ilvl w:val="0"/>
          <w:numId w:val="12"/>
        </w:numPr>
        <w:spacing w:after="0"/>
        <w:ind w:left="1170"/>
        <w:rPr>
          <w:rFonts w:eastAsia="Times New Roman"/>
        </w:rPr>
      </w:pPr>
      <w:r w:rsidRPr="002078A6">
        <w:rPr>
          <w:rFonts w:eastAsia="Times New Roman"/>
        </w:rPr>
        <w:t xml:space="preserve">Other safe harbours which could be helpful include: </w:t>
      </w:r>
    </w:p>
    <w:p w14:paraId="7EFD998D" w14:textId="79D9F046" w:rsidR="00053E6C" w:rsidRPr="00053E6C" w:rsidRDefault="00053E6C" w:rsidP="00AE3BB1">
      <w:pPr>
        <w:pStyle w:val="Liststycke"/>
        <w:numPr>
          <w:ilvl w:val="0"/>
          <w:numId w:val="13"/>
        </w:numPr>
        <w:spacing w:after="0"/>
        <w:ind w:left="1800"/>
        <w:rPr>
          <w:rFonts w:eastAsia="Times New Roman"/>
        </w:rPr>
      </w:pPr>
      <w:r w:rsidRPr="00053E6C">
        <w:rPr>
          <w:rFonts w:eastAsia="Times New Roman"/>
        </w:rPr>
        <w:t>The suggestion in the Commentary of a safe harbour which would apply where no Top-up Tax would be due in respect of a jurisdiction where the relevant MNE Group is subject to a Qualified Domestic Minimum Top-up Tax</w:t>
      </w:r>
    </w:p>
    <w:p w14:paraId="61F8AA5C" w14:textId="5EA20325" w:rsidR="00053E6C" w:rsidRPr="00053E6C" w:rsidRDefault="00053E6C" w:rsidP="00AE3BB1">
      <w:pPr>
        <w:pStyle w:val="Liststycke"/>
        <w:numPr>
          <w:ilvl w:val="0"/>
          <w:numId w:val="13"/>
        </w:numPr>
        <w:spacing w:after="0"/>
        <w:ind w:left="1800"/>
        <w:rPr>
          <w:rFonts w:eastAsia="Times New Roman"/>
        </w:rPr>
      </w:pPr>
      <w:r w:rsidRPr="00053E6C">
        <w:rPr>
          <w:rFonts w:eastAsia="Times New Roman"/>
        </w:rPr>
        <w:t xml:space="preserve">The simplification measure mentioned in the October 2020 Blueprint to have a single jurisdictional ETR calculation to cover several years.  The Blueprint mentions that a key disadvantage of this simplification measure is that MNEs would be required to establish all the necessary processes and systems in every jurisdiction in order to compute the base year ETR and that once an MNE has established all the necessary processes and systems, it may not be significantly more work to compute the jurisdictional ETR every year. The Blueprint notes that this simplification measure may not offer meaningful simplification because an MNE would still need to establish all the necessary processes and systems in every jurisdiction in order to compute the base year ETR. </w:t>
      </w:r>
      <w:r w:rsidRPr="00AB51B2">
        <w:rPr>
          <w:rFonts w:eastAsia="Times New Roman"/>
        </w:rPr>
        <w:t xml:space="preserve">While this is true, the main benefit of this option would not be </w:t>
      </w:r>
      <w:r w:rsidR="00AB51B2" w:rsidRPr="00AB51B2">
        <w:rPr>
          <w:rFonts w:eastAsia="Times New Roman"/>
        </w:rPr>
        <w:t xml:space="preserve">to </w:t>
      </w:r>
      <w:r w:rsidRPr="00AB51B2">
        <w:rPr>
          <w:rFonts w:eastAsia="Times New Roman"/>
        </w:rPr>
        <w:t>not have</w:t>
      </w:r>
      <w:r w:rsidRPr="00053E6C">
        <w:rPr>
          <w:rFonts w:eastAsia="Times New Roman"/>
        </w:rPr>
        <w:t xml:space="preserve"> set up the necessary systems but to potentially reduce the risk of challenge of an MNE’s jurisdictional ETR.  That</w:t>
      </w:r>
      <w:r w:rsidR="0071403F">
        <w:rPr>
          <w:rFonts w:eastAsia="Times New Roman"/>
        </w:rPr>
        <w:t xml:space="preserve"> would naturally</w:t>
      </w:r>
      <w:r w:rsidRPr="00053E6C">
        <w:rPr>
          <w:rFonts w:eastAsia="Times New Roman"/>
        </w:rPr>
        <w:t xml:space="preserve"> depend on the extent to which tax administrations are able to challenge the use of safe harbours (see below).</w:t>
      </w:r>
    </w:p>
    <w:p w14:paraId="1DE1388E" w14:textId="6469A2C9" w:rsidR="00053E6C" w:rsidRDefault="00053E6C" w:rsidP="00AE3BB1">
      <w:pPr>
        <w:pStyle w:val="Liststycke"/>
        <w:numPr>
          <w:ilvl w:val="0"/>
          <w:numId w:val="13"/>
        </w:numPr>
        <w:spacing w:after="0"/>
        <w:ind w:left="1800"/>
        <w:rPr>
          <w:rFonts w:eastAsia="Times New Roman"/>
        </w:rPr>
      </w:pPr>
      <w:r w:rsidRPr="00053E6C">
        <w:rPr>
          <w:rFonts w:eastAsia="Times New Roman"/>
        </w:rPr>
        <w:t>Whil</w:t>
      </w:r>
      <w:r w:rsidR="00E36915">
        <w:rPr>
          <w:rFonts w:eastAsia="Times New Roman"/>
        </w:rPr>
        <w:t>st ICC members n</w:t>
      </w:r>
      <w:r w:rsidRPr="00053E6C">
        <w:rPr>
          <w:rFonts w:eastAsia="Times New Roman"/>
        </w:rPr>
        <w:t xml:space="preserve">ote the political sensitivity around the Blueprint’s tax administrative guidance (“white list”) option, </w:t>
      </w:r>
      <w:r w:rsidR="00813C44">
        <w:rPr>
          <w:rFonts w:eastAsia="Times New Roman"/>
        </w:rPr>
        <w:t xml:space="preserve">ICC members </w:t>
      </w:r>
      <w:r w:rsidRPr="00053E6C">
        <w:rPr>
          <w:rFonts w:eastAsia="Times New Roman"/>
        </w:rPr>
        <w:t xml:space="preserve">still support this option.     </w:t>
      </w:r>
    </w:p>
    <w:p w14:paraId="5F108468" w14:textId="77777777" w:rsidR="00FE665C" w:rsidRDefault="00FE665C" w:rsidP="00FE665C">
      <w:pPr>
        <w:spacing w:after="0"/>
        <w:rPr>
          <w:rFonts w:eastAsia="Times New Roman"/>
        </w:rPr>
      </w:pPr>
    </w:p>
    <w:p w14:paraId="61E7BA89" w14:textId="77777777" w:rsidR="00FE665C" w:rsidRPr="00FE665C" w:rsidRDefault="00FE665C" w:rsidP="00FE665C">
      <w:pPr>
        <w:pStyle w:val="Liststycke"/>
        <w:numPr>
          <w:ilvl w:val="0"/>
          <w:numId w:val="9"/>
        </w:numPr>
        <w:spacing w:after="0"/>
        <w:ind w:left="1080"/>
        <w:rPr>
          <w:rFonts w:eastAsia="Times New Roman"/>
          <w:u w:val="single"/>
        </w:rPr>
      </w:pPr>
      <w:r w:rsidRPr="00FE665C">
        <w:rPr>
          <w:rFonts w:eastAsia="Times New Roman"/>
          <w:u w:val="single"/>
        </w:rPr>
        <w:t xml:space="preserve">Tax authorities’ ability to challenge safe harbour elections </w:t>
      </w:r>
    </w:p>
    <w:p w14:paraId="11EC11A8" w14:textId="2E76AE62" w:rsidR="00FE665C" w:rsidRPr="00FE665C" w:rsidRDefault="00FE665C" w:rsidP="00000ACB">
      <w:pPr>
        <w:pStyle w:val="Liststycke"/>
        <w:numPr>
          <w:ilvl w:val="0"/>
          <w:numId w:val="14"/>
        </w:numPr>
        <w:spacing w:after="0"/>
        <w:ind w:left="1350" w:hanging="270"/>
        <w:rPr>
          <w:rFonts w:eastAsia="Times New Roman"/>
        </w:rPr>
      </w:pPr>
      <w:r w:rsidRPr="00FE665C">
        <w:rPr>
          <w:rFonts w:eastAsia="Times New Roman"/>
        </w:rPr>
        <w:t>For safe harbours to be truly effective, clear boundaries must be set to tax authorities’ ability (discretion) to challenge safe harbour elections and the timeframe within which they can do so.  Important clarifications are needed in that regard</w:t>
      </w:r>
      <w:r w:rsidR="008A73B6">
        <w:rPr>
          <w:rFonts w:eastAsia="Times New Roman"/>
        </w:rPr>
        <w:t>.</w:t>
      </w:r>
      <w:r w:rsidRPr="00FE665C">
        <w:rPr>
          <w:rFonts w:eastAsia="Times New Roman"/>
        </w:rPr>
        <w:t xml:space="preserve">  Tax authorities’ discretion and the proposed timeframe could undermine the benefit of simplification and the stated goal of improving tax certainty.</w:t>
      </w:r>
    </w:p>
    <w:p w14:paraId="293B42A4" w14:textId="77777777" w:rsidR="00000ACB" w:rsidRDefault="00000ACB" w:rsidP="00000ACB">
      <w:pPr>
        <w:pStyle w:val="Liststycke"/>
        <w:spacing w:after="0"/>
        <w:ind w:left="1350" w:hanging="270"/>
        <w:rPr>
          <w:rFonts w:eastAsia="Times New Roman"/>
        </w:rPr>
      </w:pPr>
    </w:p>
    <w:p w14:paraId="4C8E9F16" w14:textId="4E1C281A" w:rsidR="00FE665C" w:rsidRPr="00FE665C" w:rsidRDefault="00FE665C" w:rsidP="00000ACB">
      <w:pPr>
        <w:pStyle w:val="Liststycke"/>
        <w:numPr>
          <w:ilvl w:val="0"/>
          <w:numId w:val="14"/>
        </w:numPr>
        <w:spacing w:after="0"/>
        <w:ind w:left="1350" w:hanging="270"/>
        <w:rPr>
          <w:rFonts w:eastAsia="Times New Roman"/>
        </w:rPr>
      </w:pPr>
      <w:r w:rsidRPr="00FE665C">
        <w:rPr>
          <w:rFonts w:eastAsia="Times New Roman"/>
        </w:rPr>
        <w:t>For consideration: If multiple safe harbours apply, could the bar be set higher for tax authorities to be able to challenge a safe harbour election; set the bar lower or higher depending on the safe harbour</w:t>
      </w:r>
      <w:r w:rsidR="001B172F">
        <w:rPr>
          <w:rFonts w:eastAsia="Times New Roman"/>
        </w:rPr>
        <w:t>.</w:t>
      </w:r>
    </w:p>
    <w:p w14:paraId="454804B3" w14:textId="77777777" w:rsidR="0024225A" w:rsidRPr="000B21C8" w:rsidRDefault="0024225A" w:rsidP="00053E6C">
      <w:pPr>
        <w:pStyle w:val="Liststycke"/>
        <w:spacing w:after="0"/>
        <w:ind w:left="1080"/>
        <w:rPr>
          <w:rFonts w:eastAsia="Times New Roman"/>
        </w:rPr>
      </w:pPr>
    </w:p>
    <w:p w14:paraId="4254DF9C" w14:textId="77777777" w:rsidR="00CD52E1" w:rsidRDefault="00CD52E1" w:rsidP="00DD0AE4">
      <w:pPr>
        <w:spacing w:after="0"/>
        <w:ind w:firstLine="480"/>
      </w:pPr>
    </w:p>
    <w:p w14:paraId="4D134CCC" w14:textId="1CA50E76" w:rsidR="00CD52E1" w:rsidRPr="008467B1" w:rsidRDefault="00CD52E1" w:rsidP="00DD0AE4">
      <w:pPr>
        <w:spacing w:after="0"/>
        <w:rPr>
          <w:b/>
          <w:bCs/>
          <w:color w:val="00B0F0"/>
        </w:rPr>
      </w:pPr>
      <w:r w:rsidRPr="008467B1">
        <w:rPr>
          <w:b/>
          <w:bCs/>
          <w:color w:val="00B0F0"/>
        </w:rPr>
        <w:t>4.</w:t>
      </w:r>
      <w:r w:rsidR="00F3478A" w:rsidRPr="008467B1">
        <w:rPr>
          <w:b/>
          <w:bCs/>
          <w:color w:val="00B0F0"/>
        </w:rPr>
        <w:t xml:space="preserve"> </w:t>
      </w:r>
      <w:r w:rsidRPr="008467B1">
        <w:rPr>
          <w:b/>
          <w:bCs/>
          <w:color w:val="00B0F0"/>
        </w:rPr>
        <w:t>Do you have views on mechanisms to maximise rule co-ordination, increase tax certainty and avoid the risk of double taxation?</w:t>
      </w:r>
      <w:r w:rsidRPr="008467B1">
        <w:rPr>
          <w:rFonts w:hint="eastAsia"/>
          <w:b/>
          <w:bCs/>
          <w:color w:val="00B0F0"/>
        </w:rPr>
        <w:t xml:space="preserve"> </w:t>
      </w:r>
    </w:p>
    <w:p w14:paraId="787601E0" w14:textId="77777777" w:rsidR="00CD52E1" w:rsidRPr="008467B1" w:rsidRDefault="00CD52E1" w:rsidP="00DD0AE4">
      <w:pPr>
        <w:spacing w:after="0"/>
        <w:ind w:firstLine="480"/>
        <w:rPr>
          <w:color w:val="00B0F0"/>
        </w:rPr>
      </w:pPr>
    </w:p>
    <w:p w14:paraId="3F86D2E2" w14:textId="77777777" w:rsidR="002B1AED" w:rsidRDefault="002B1AED" w:rsidP="00DD0AE4">
      <w:pPr>
        <w:spacing w:after="0"/>
      </w:pPr>
    </w:p>
    <w:p w14:paraId="46CCD9E4" w14:textId="7B427325" w:rsidR="00FC524D" w:rsidRDefault="00FC524D" w:rsidP="001C22B0">
      <w:pPr>
        <w:pStyle w:val="Liststycke"/>
        <w:numPr>
          <w:ilvl w:val="0"/>
          <w:numId w:val="9"/>
        </w:numPr>
        <w:spacing w:after="0"/>
        <w:ind w:left="1080"/>
        <w:contextualSpacing w:val="0"/>
        <w:rPr>
          <w:rFonts w:ascii="Calibri" w:eastAsia="Times New Roman" w:hAnsi="Calibri"/>
          <w:color w:val="auto"/>
          <w:szCs w:val="22"/>
          <w:lang w:eastAsia="zh-CN"/>
        </w:rPr>
      </w:pPr>
      <w:r>
        <w:rPr>
          <w:rFonts w:eastAsia="Times New Roman"/>
        </w:rPr>
        <w:t xml:space="preserve">In a number of </w:t>
      </w:r>
      <w:r w:rsidR="00AD2F95">
        <w:rPr>
          <w:rFonts w:eastAsia="Times New Roman"/>
        </w:rPr>
        <w:t>areas,</w:t>
      </w:r>
      <w:r>
        <w:rPr>
          <w:rFonts w:eastAsia="Times New Roman"/>
        </w:rPr>
        <w:t xml:space="preserve"> the model rules and commentary present the possibility of inconsistent interpretation and application of the GLOBE rules by jurisdictions.  Accordingly, it</w:t>
      </w:r>
      <w:r w:rsidR="001C22B0">
        <w:rPr>
          <w:rFonts w:eastAsia="Times New Roman"/>
        </w:rPr>
        <w:t xml:space="preserve"> is</w:t>
      </w:r>
      <w:r>
        <w:rPr>
          <w:rFonts w:eastAsia="Times New Roman"/>
        </w:rPr>
        <w:t xml:space="preserve"> likely </w:t>
      </w:r>
      <w:r w:rsidR="001C22B0">
        <w:rPr>
          <w:rFonts w:eastAsia="Times New Roman"/>
        </w:rPr>
        <w:t xml:space="preserve">that </w:t>
      </w:r>
      <w:r>
        <w:rPr>
          <w:rFonts w:eastAsia="Times New Roman"/>
        </w:rPr>
        <w:t xml:space="preserve">countries will adopt inconsistent interpretations under their domestic laws or on audit of </w:t>
      </w:r>
      <w:r w:rsidR="00AD2F95">
        <w:rPr>
          <w:rFonts w:eastAsia="Times New Roman"/>
        </w:rPr>
        <w:t>taxpayers</w:t>
      </w:r>
      <w:r>
        <w:rPr>
          <w:rFonts w:eastAsia="Times New Roman"/>
        </w:rPr>
        <w:t>.  In addition, the interaction of these rules with existing CFC and minimum tax regimes of countries not adopting or fully implementing Pillar Two will likely give rise to double taxation.  Accordingly, strong binding dispute prevention and resolution mechanisms are an essential part of the Pillar Two implementation framework</w:t>
      </w:r>
    </w:p>
    <w:p w14:paraId="3BCFD82B" w14:textId="04FF48FA" w:rsidR="00FC524D" w:rsidRDefault="00FC524D" w:rsidP="001C22B0">
      <w:pPr>
        <w:pStyle w:val="Liststycke"/>
        <w:numPr>
          <w:ilvl w:val="0"/>
          <w:numId w:val="9"/>
        </w:numPr>
        <w:spacing w:after="0"/>
        <w:ind w:left="1080"/>
        <w:contextualSpacing w:val="0"/>
        <w:rPr>
          <w:rFonts w:eastAsia="Times New Roman"/>
        </w:rPr>
      </w:pPr>
      <w:r>
        <w:rPr>
          <w:rFonts w:eastAsia="Times New Roman"/>
        </w:rPr>
        <w:t>A multi-lateral process to facilitate dispute resolution could be considered to quickly and efficiently resolve double tax disputes arising from application of thew Pillar Two rules</w:t>
      </w:r>
      <w:r w:rsidR="00F822DA">
        <w:rPr>
          <w:rFonts w:eastAsia="Times New Roman"/>
        </w:rPr>
        <w:t>.</w:t>
      </w:r>
    </w:p>
    <w:p w14:paraId="755906BF" w14:textId="75AE1915" w:rsidR="00447271" w:rsidRDefault="001A6FE9" w:rsidP="00447271">
      <w:pPr>
        <w:pStyle w:val="Liststycke"/>
        <w:numPr>
          <w:ilvl w:val="0"/>
          <w:numId w:val="9"/>
        </w:numPr>
        <w:spacing w:after="0"/>
        <w:ind w:left="1080"/>
      </w:pPr>
      <w:r>
        <w:t>ICC members support</w:t>
      </w:r>
      <w:r w:rsidR="00447271">
        <w:t xml:space="preserve"> a multilateral convention solidifying jurisdictions’ political commitment regarding the common approach.  Such a multilateral convention could also contain a mechanism for multilateral dispute resolution.</w:t>
      </w:r>
    </w:p>
    <w:p w14:paraId="7364C352" w14:textId="11102773" w:rsidR="00447271" w:rsidRDefault="00D93455" w:rsidP="00447271">
      <w:pPr>
        <w:pStyle w:val="Liststycke"/>
        <w:numPr>
          <w:ilvl w:val="0"/>
          <w:numId w:val="9"/>
        </w:numPr>
        <w:spacing w:after="0"/>
        <w:ind w:left="1080"/>
      </w:pPr>
      <w:r>
        <w:t xml:space="preserve">ICC believes that </w:t>
      </w:r>
      <w:r w:rsidR="00447271">
        <w:t xml:space="preserve">Implementing Inclusive Framework jurisdictions should give adequate recognition to the Commentary, any Administrative Guidance and the Examples in the Secretariat’s Examples document which in some countries may mean parliamentary acceptance as recognised in the Commentary to Article 8.3.1, paragraph 40 with respect to the Agreed Administrative Guidance.  The examples in the Examples document should be approved by the Inclusive Framework.  </w:t>
      </w:r>
    </w:p>
    <w:p w14:paraId="7BA61D64" w14:textId="77777777" w:rsidR="00447271" w:rsidRDefault="00447271" w:rsidP="00447271">
      <w:pPr>
        <w:pStyle w:val="Liststycke"/>
        <w:numPr>
          <w:ilvl w:val="0"/>
          <w:numId w:val="9"/>
        </w:numPr>
        <w:spacing w:after="0"/>
        <w:ind w:left="1080"/>
      </w:pPr>
      <w:r>
        <w:t>Peer review process:</w:t>
      </w:r>
    </w:p>
    <w:p w14:paraId="2EC2883B" w14:textId="01F020B8" w:rsidR="00447271" w:rsidRDefault="00447271" w:rsidP="00BC3345">
      <w:pPr>
        <w:pStyle w:val="Liststycke"/>
        <w:numPr>
          <w:ilvl w:val="0"/>
          <w:numId w:val="15"/>
        </w:numPr>
        <w:spacing w:after="0"/>
        <w:ind w:left="1080"/>
      </w:pPr>
      <w:r>
        <w:t xml:space="preserve">Ideally, there would be an </w:t>
      </w:r>
      <w:r w:rsidR="00AD2F95">
        <w:t>ex-ante</w:t>
      </w:r>
      <w:r>
        <w:t xml:space="preserve"> certification process to determine whether jurisdictions’ domestic implementation of the IIR, the UTPR and/or the domestic minimum tax is GloBE-compliant.   </w:t>
      </w:r>
      <w:r w:rsidR="00D93455">
        <w:t>ICC holds that a</w:t>
      </w:r>
      <w:r>
        <w:t xml:space="preserve">n </w:t>
      </w:r>
      <w:r w:rsidR="00AD2F95">
        <w:t>ex-post</w:t>
      </w:r>
      <w:r>
        <w:t xml:space="preserve"> certification process would bring tax uncertainty, potential double / multiple taxation and disputes over a prolonged period of time.    </w:t>
      </w:r>
    </w:p>
    <w:p w14:paraId="77F0FF7F" w14:textId="1D773E1B" w:rsidR="00447271" w:rsidRDefault="005E55BD" w:rsidP="00BC3345">
      <w:pPr>
        <w:pStyle w:val="Liststycke"/>
        <w:numPr>
          <w:ilvl w:val="0"/>
          <w:numId w:val="15"/>
        </w:numPr>
        <w:spacing w:after="0"/>
        <w:ind w:left="1080"/>
      </w:pPr>
      <w:r>
        <w:t xml:space="preserve">ICC recognises that </w:t>
      </w:r>
      <w:r w:rsidR="00447271">
        <w:t xml:space="preserve">jurisdictions may be under pressure to start collecting top-up taxes before the peer review process has been completed.  </w:t>
      </w:r>
      <w:r w:rsidR="00C809B9">
        <w:t xml:space="preserve">ICC </w:t>
      </w:r>
      <w:r w:rsidR="001F49B7">
        <w:t>suggest</w:t>
      </w:r>
      <w:r w:rsidR="006C55A6">
        <w:t>s</w:t>
      </w:r>
      <w:r w:rsidR="001F49B7">
        <w:t xml:space="preserve"> that </w:t>
      </w:r>
      <w:r w:rsidR="00447271">
        <w:t xml:space="preserve">a “fast track” initial review against agreed key design features </w:t>
      </w:r>
      <w:r w:rsidR="001F49B7">
        <w:t>could perhaps be</w:t>
      </w:r>
      <w:r w:rsidR="00447271">
        <w:t xml:space="preserve"> contemplated as part of the peer review process which MNEs could rely on until the more detailed review (examining jurisdictions’ legal and regulatory GloBE framework and implementation of the framework in practice) further down the line</w:t>
      </w:r>
      <w:r w:rsidR="00CE7B68">
        <w:t xml:space="preserve">. </w:t>
      </w:r>
      <w:r w:rsidR="00447271">
        <w:t>Alternatively, could MNEs rely on an assertion by a jurisdiction that a rule is a qualified IIR, UTPR or domestic minimum tax, as suggested by some of our peers</w:t>
      </w:r>
      <w:r w:rsidR="006C55A6">
        <w:t>?</w:t>
      </w:r>
      <w:r w:rsidR="00447271">
        <w:t xml:space="preserve"> </w:t>
      </w:r>
    </w:p>
    <w:p w14:paraId="644859E2" w14:textId="1FB51010" w:rsidR="000147CC" w:rsidRDefault="00447271" w:rsidP="000147CC">
      <w:pPr>
        <w:pStyle w:val="Liststycke"/>
        <w:numPr>
          <w:ilvl w:val="0"/>
          <w:numId w:val="15"/>
        </w:numPr>
        <w:spacing w:after="0"/>
        <w:ind w:left="1080"/>
      </w:pPr>
      <w:r>
        <w:t xml:space="preserve">In both cases (and more broadly, in the context of any </w:t>
      </w:r>
      <w:r w:rsidR="00AD2F95">
        <w:t>ex-post</w:t>
      </w:r>
      <w:r>
        <w:t xml:space="preserve"> peer review process), consideration should be given to how jurisdictions will deal with tax that has been collected under a rule that is ultimately considered not to be a qualified IIR, UTPR, domestic minimum tax.</w:t>
      </w:r>
    </w:p>
    <w:p w14:paraId="7D0A010B" w14:textId="72F46A42" w:rsidR="00635DF6" w:rsidRPr="000147CC" w:rsidRDefault="00DE2888" w:rsidP="000147CC">
      <w:pPr>
        <w:pStyle w:val="Liststycke"/>
        <w:numPr>
          <w:ilvl w:val="0"/>
          <w:numId w:val="15"/>
        </w:numPr>
        <w:spacing w:after="0"/>
        <w:ind w:left="1080"/>
      </w:pPr>
      <w:r w:rsidRPr="000147CC">
        <w:t>ICC believes that it would be useful to conside</w:t>
      </w:r>
      <w:r w:rsidR="00922404" w:rsidRPr="000147CC">
        <w:t>r</w:t>
      </w:r>
      <w:r w:rsidRPr="000147CC">
        <w:t xml:space="preserve"> a </w:t>
      </w:r>
      <w:r w:rsidR="00F822DA" w:rsidRPr="000147CC">
        <w:t>peer review mechanism that whitelists IIRs as qualifying IIRs</w:t>
      </w:r>
      <w:r w:rsidRPr="000147CC">
        <w:t xml:space="preserve"> as this will be </w:t>
      </w:r>
      <w:r w:rsidR="00F32CD1" w:rsidRPr="000147CC">
        <w:t xml:space="preserve">a significant </w:t>
      </w:r>
      <w:r w:rsidR="00F822DA" w:rsidRPr="000147CC">
        <w:t>barrier to certainty</w:t>
      </w:r>
      <w:r w:rsidR="00F32CD1" w:rsidRPr="000147CC">
        <w:t xml:space="preserve"> which</w:t>
      </w:r>
      <w:r w:rsidR="00F822DA" w:rsidRPr="000147CC">
        <w:t xml:space="preserve"> cannot be achieved unilaterally</w:t>
      </w:r>
      <w:r w:rsidR="00F32CD1" w:rsidRPr="000147CC">
        <w:t>, or regionally</w:t>
      </w:r>
      <w:r w:rsidR="008725E0" w:rsidRPr="000147CC">
        <w:t xml:space="preserve"> (</w:t>
      </w:r>
      <w:r w:rsidR="00AD2F95" w:rsidRPr="000147CC">
        <w:t>e.g.,</w:t>
      </w:r>
      <w:r w:rsidR="008725E0" w:rsidRPr="000147CC">
        <w:t xml:space="preserve"> t</w:t>
      </w:r>
      <w:r w:rsidR="00F822DA" w:rsidRPr="000147CC">
        <w:t xml:space="preserve">hrough the EU Council). </w:t>
      </w:r>
    </w:p>
    <w:p w14:paraId="69A5A49F" w14:textId="77777777" w:rsidR="007742D5" w:rsidRDefault="007742D5" w:rsidP="007742D5">
      <w:pPr>
        <w:pStyle w:val="Liststycke"/>
        <w:spacing w:after="0"/>
        <w:ind w:left="1080"/>
      </w:pPr>
    </w:p>
    <w:p w14:paraId="13BF3D57" w14:textId="77777777" w:rsidR="002E2486" w:rsidRPr="00922404" w:rsidRDefault="008725E0" w:rsidP="002E2486">
      <w:pPr>
        <w:pStyle w:val="Liststycke"/>
        <w:numPr>
          <w:ilvl w:val="0"/>
          <w:numId w:val="9"/>
        </w:numPr>
        <w:spacing w:after="0"/>
        <w:ind w:left="1080"/>
      </w:pPr>
      <w:r w:rsidRPr="00635DF6">
        <w:rPr>
          <w:rFonts w:eastAsia="Times New Roman"/>
        </w:rPr>
        <w:t xml:space="preserve">Whilst </w:t>
      </w:r>
      <w:r w:rsidR="00485FAB" w:rsidRPr="00635DF6">
        <w:rPr>
          <w:rFonts w:eastAsia="Times New Roman"/>
        </w:rPr>
        <w:t xml:space="preserve">significant effort </w:t>
      </w:r>
      <w:r w:rsidR="006D1BE0" w:rsidRPr="00635DF6">
        <w:rPr>
          <w:rFonts w:eastAsia="Times New Roman"/>
        </w:rPr>
        <w:t xml:space="preserve">has been made to avoid double taxation in </w:t>
      </w:r>
      <w:r w:rsidRPr="00635DF6">
        <w:rPr>
          <w:rFonts w:eastAsia="Times New Roman"/>
        </w:rPr>
        <w:t>the Model Rules</w:t>
      </w:r>
      <w:r w:rsidR="006D1BE0" w:rsidRPr="00635DF6">
        <w:rPr>
          <w:rFonts w:eastAsia="Times New Roman"/>
        </w:rPr>
        <w:t xml:space="preserve">, ICC believes that there is still much work to be done with respect to rule coordination and tax certainty.  </w:t>
      </w:r>
      <w:r w:rsidR="00EC45B9" w:rsidRPr="00635DF6">
        <w:rPr>
          <w:rFonts w:eastAsia="Times New Roman"/>
        </w:rPr>
        <w:t xml:space="preserve">As mentioned, earlier, </w:t>
      </w:r>
      <w:r w:rsidR="007072E2" w:rsidRPr="00635DF6">
        <w:rPr>
          <w:rFonts w:eastAsia="Times New Roman"/>
        </w:rPr>
        <w:t xml:space="preserve">further guidance is needed with respect to </w:t>
      </w:r>
      <w:r w:rsidR="00B36DE2" w:rsidRPr="00922404">
        <w:rPr>
          <w:rFonts w:hint="eastAsia"/>
        </w:rPr>
        <w:t>CFC</w:t>
      </w:r>
      <w:r w:rsidR="00B36DE2" w:rsidRPr="00922404">
        <w:t xml:space="preserve"> R</w:t>
      </w:r>
      <w:r w:rsidR="00B36DE2" w:rsidRPr="00922404">
        <w:rPr>
          <w:rFonts w:hint="eastAsia"/>
        </w:rPr>
        <w:t>ules</w:t>
      </w:r>
      <w:r w:rsidR="00B36DE2" w:rsidRPr="00922404">
        <w:t>,</w:t>
      </w:r>
      <w:r w:rsidR="00B36DE2" w:rsidRPr="00922404">
        <w:rPr>
          <w:rFonts w:hint="eastAsia"/>
        </w:rPr>
        <w:t xml:space="preserve"> Credit method</w:t>
      </w:r>
      <w:r w:rsidR="00B36DE2" w:rsidRPr="00922404">
        <w:t xml:space="preserve"> </w:t>
      </w:r>
      <w:r w:rsidR="00B36DE2" w:rsidRPr="00922404">
        <w:rPr>
          <w:rFonts w:hint="eastAsia"/>
        </w:rPr>
        <w:t>and</w:t>
      </w:r>
      <w:r w:rsidR="00B36DE2" w:rsidRPr="00922404">
        <w:t xml:space="preserve"> tax preferential </w:t>
      </w:r>
      <w:r w:rsidR="00B36DE2" w:rsidRPr="00922404">
        <w:rPr>
          <w:rFonts w:hint="eastAsia"/>
        </w:rPr>
        <w:t>regime</w:t>
      </w:r>
      <w:r w:rsidR="007072E2" w:rsidRPr="00922404">
        <w:t xml:space="preserve">s, as well as </w:t>
      </w:r>
      <w:r w:rsidR="00635DF6" w:rsidRPr="00922404">
        <w:t xml:space="preserve">co-existence with third party regimes, such as GILTI. </w:t>
      </w:r>
    </w:p>
    <w:p w14:paraId="0741B253" w14:textId="7E88BAA7" w:rsidR="00B36DE2" w:rsidRPr="00922404" w:rsidRDefault="002E2486" w:rsidP="002E2486">
      <w:pPr>
        <w:pStyle w:val="Liststycke"/>
        <w:numPr>
          <w:ilvl w:val="0"/>
          <w:numId w:val="9"/>
        </w:numPr>
        <w:spacing w:after="0"/>
        <w:ind w:left="1080"/>
      </w:pPr>
      <w:r w:rsidRPr="00922404">
        <w:t>ICC further notes that t</w:t>
      </w:r>
      <w:r w:rsidR="00B36DE2" w:rsidRPr="00922404">
        <w:t>he</w:t>
      </w:r>
      <w:r w:rsidR="00B36DE2" w:rsidRPr="00922404">
        <w:rPr>
          <w:rFonts w:hint="eastAsia"/>
        </w:rPr>
        <w:t xml:space="preserve"> definition of low taxed</w:t>
      </w:r>
      <w:r w:rsidR="00B36DE2" w:rsidRPr="00922404">
        <w:t xml:space="preserve"> </w:t>
      </w:r>
      <w:r w:rsidR="00B36DE2" w:rsidRPr="00922404">
        <w:rPr>
          <w:rFonts w:hint="eastAsia"/>
        </w:rPr>
        <w:t>jurisdicti</w:t>
      </w:r>
      <w:r w:rsidRPr="00922404">
        <w:t>o</w:t>
      </w:r>
      <w:r w:rsidR="00B36DE2" w:rsidRPr="00922404">
        <w:rPr>
          <w:rFonts w:hint="eastAsia"/>
        </w:rPr>
        <w:t>n</w:t>
      </w:r>
      <w:r w:rsidRPr="00922404">
        <w:t>s</w:t>
      </w:r>
      <w:r w:rsidR="00B36DE2" w:rsidRPr="00922404">
        <w:rPr>
          <w:rFonts w:hint="eastAsia"/>
        </w:rPr>
        <w:t xml:space="preserve"> is</w:t>
      </w:r>
      <w:r w:rsidR="00B36DE2" w:rsidRPr="00922404">
        <w:t xml:space="preserve"> </w:t>
      </w:r>
      <w:r w:rsidRPr="00922404">
        <w:t xml:space="preserve">not sufficiently </w:t>
      </w:r>
      <w:r w:rsidR="00B36DE2" w:rsidRPr="00922404">
        <w:rPr>
          <w:rFonts w:hint="eastAsia"/>
        </w:rPr>
        <w:t>clear</w:t>
      </w:r>
      <w:r w:rsidR="00B36DE2" w:rsidRPr="00922404">
        <w:t xml:space="preserve"> </w:t>
      </w:r>
      <w:r w:rsidR="00B36DE2" w:rsidRPr="00922404">
        <w:rPr>
          <w:rFonts w:hint="eastAsia"/>
        </w:rPr>
        <w:t>w</w:t>
      </w:r>
      <w:r w:rsidRPr="00922404">
        <w:t xml:space="preserve">ith respect to </w:t>
      </w:r>
      <w:r w:rsidR="00B36DE2" w:rsidRPr="00922404">
        <w:rPr>
          <w:rFonts w:hint="eastAsia"/>
        </w:rPr>
        <w:t>UTPR</w:t>
      </w:r>
      <w:r w:rsidR="00B36DE2" w:rsidRPr="00922404">
        <w:t xml:space="preserve"> </w:t>
      </w:r>
      <w:r w:rsidR="00B36DE2" w:rsidRPr="00922404">
        <w:rPr>
          <w:rFonts w:hint="eastAsia"/>
        </w:rPr>
        <w:t>and economic substance</w:t>
      </w:r>
      <w:r w:rsidR="00B36DE2" w:rsidRPr="00922404">
        <w:t xml:space="preserve">, </w:t>
      </w:r>
      <w:r w:rsidR="00B36DE2" w:rsidRPr="00922404">
        <w:rPr>
          <w:rFonts w:hint="eastAsia"/>
        </w:rPr>
        <w:t>which</w:t>
      </w:r>
      <w:r w:rsidR="00F15427" w:rsidRPr="00922404">
        <w:t xml:space="preserve"> could also increase uncertainty.  </w:t>
      </w:r>
    </w:p>
    <w:p w14:paraId="3265A968" w14:textId="77777777" w:rsidR="00B36DE2" w:rsidRDefault="00B36DE2" w:rsidP="00B36DE2">
      <w:pPr>
        <w:spacing w:after="0"/>
      </w:pPr>
    </w:p>
    <w:p w14:paraId="79E6180D" w14:textId="0B35A1DD" w:rsidR="00F35117" w:rsidRDefault="00F35117" w:rsidP="00DD0AE4">
      <w:pPr>
        <w:spacing w:after="0"/>
      </w:pPr>
    </w:p>
    <w:p w14:paraId="4AB96CED" w14:textId="77777777" w:rsidR="00F35117" w:rsidRDefault="00F35117" w:rsidP="00DD0AE4">
      <w:pPr>
        <w:spacing w:after="0"/>
        <w:rPr>
          <w:szCs w:val="22"/>
        </w:rPr>
      </w:pPr>
      <w:r w:rsidRPr="00181D10">
        <w:rPr>
          <w:szCs w:val="22"/>
        </w:rPr>
        <w:t>ICC remains committed to providing knowledge and expertise on behalf of the global business community.</w:t>
      </w:r>
    </w:p>
    <w:p w14:paraId="2474E93E" w14:textId="77777777" w:rsidR="00F35117" w:rsidRDefault="00F35117" w:rsidP="00DD0AE4">
      <w:pPr>
        <w:spacing w:after="0"/>
        <w:ind w:left="360"/>
        <w:rPr>
          <w:szCs w:val="22"/>
        </w:rPr>
      </w:pPr>
    </w:p>
    <w:p w14:paraId="3424BBE0" w14:textId="77777777" w:rsidR="00F35117" w:rsidRDefault="00F35117" w:rsidP="00DD0AE4">
      <w:pPr>
        <w:spacing w:after="0"/>
        <w:ind w:left="360"/>
        <w:rPr>
          <w:szCs w:val="22"/>
        </w:rPr>
      </w:pPr>
    </w:p>
    <w:p w14:paraId="00485DBD" w14:textId="77777777" w:rsidR="00F35117" w:rsidRDefault="00F35117" w:rsidP="00DD0AE4">
      <w:pPr>
        <w:spacing w:after="0"/>
        <w:rPr>
          <w:bCs/>
        </w:rPr>
      </w:pPr>
      <w:r w:rsidRPr="001875D9">
        <w:rPr>
          <w:noProof/>
        </w:rPr>
        <mc:AlternateContent>
          <mc:Choice Requires="wps">
            <w:drawing>
              <wp:anchor distT="0" distB="0" distL="114300" distR="114300" simplePos="0" relativeHeight="251658242" behindDoc="1" locked="0" layoutInCell="1" allowOverlap="1" wp14:anchorId="6869BE97" wp14:editId="3BC1881D">
                <wp:simplePos x="0" y="0"/>
                <wp:positionH relativeFrom="column">
                  <wp:posOffset>-168812</wp:posOffset>
                </wp:positionH>
                <wp:positionV relativeFrom="paragraph">
                  <wp:posOffset>128954</wp:posOffset>
                </wp:positionV>
                <wp:extent cx="6147581" cy="1392701"/>
                <wp:effectExtent l="0" t="0" r="5715" b="0"/>
                <wp:wrapNone/>
                <wp:docPr id="3" name="Rectangle 3"/>
                <wp:cNvGraphicFramePr/>
                <a:graphic xmlns:a="http://schemas.openxmlformats.org/drawingml/2006/main">
                  <a:graphicData uri="http://schemas.microsoft.com/office/word/2010/wordprocessingShape">
                    <wps:wsp>
                      <wps:cNvSpPr/>
                      <wps:spPr>
                        <a:xfrm>
                          <a:off x="0" y="0"/>
                          <a:ext cx="6147581" cy="1392701"/>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BD21" id="Rectangle 3" o:spid="_x0000_s1026" style="position:absolute;margin-left:-13.3pt;margin-top:10.15pt;width:484.05pt;height:10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" fillcolor="#7b7b7b [2406]" stroked="f" strokeweight="1pt"/>
            </w:pict>
          </mc:Fallback>
        </mc:AlternateContent>
      </w:r>
    </w:p>
    <w:p w14:paraId="7340DB92" w14:textId="77777777" w:rsidR="00F35117" w:rsidRPr="00324DD6" w:rsidRDefault="00F35117" w:rsidP="00DD0AE4">
      <w:pPr>
        <w:pStyle w:val="Aucunstyle"/>
        <w:spacing w:line="240" w:lineRule="auto"/>
        <w:rPr>
          <w:rFonts w:ascii="Gotham Bold" w:hAnsi="Gotham Bold" w:cs="Gotham Bold"/>
          <w:caps/>
          <w:color w:val="FFFFFF"/>
          <w:spacing w:val="-2"/>
          <w:sz w:val="18"/>
          <w:szCs w:val="18"/>
          <w:lang w:val="en-US"/>
        </w:rPr>
      </w:pPr>
      <w:r w:rsidRPr="00324DD6">
        <w:rPr>
          <w:rFonts w:ascii="Gotham Bold" w:hAnsi="Gotham Bold" w:cs="Gotham Bold"/>
          <w:caps/>
          <w:color w:val="7AAEDE"/>
          <w:spacing w:val="-2"/>
          <w:sz w:val="18"/>
          <w:szCs w:val="18"/>
          <w:lang w:val="en-US"/>
        </w:rPr>
        <w:t>About The International Chamber of Commerce (ICC)</w:t>
      </w:r>
    </w:p>
    <w:p w14:paraId="10C57FE3" w14:textId="5FD295C5" w:rsidR="00F35117" w:rsidRPr="00FC524D" w:rsidRDefault="00F35117" w:rsidP="00DD0AE4">
      <w:pPr>
        <w:spacing w:after="0"/>
        <w:rPr>
          <w:bCs/>
        </w:rPr>
      </w:pPr>
      <w:r>
        <w:rPr>
          <w:rFonts w:cs="Gotham Book"/>
          <w:color w:val="FFFFFF"/>
          <w:spacing w:val="-2"/>
          <w:sz w:val="18"/>
          <w:szCs w:val="18"/>
        </w:rPr>
        <w:t xml:space="preserve">The International Chamber of Commerce (ICC) is the institutional representative of more than 45 million </w:t>
      </w:r>
      <w:r>
        <w:rPr>
          <w:rFonts w:cs="Gotham Book"/>
          <w:color w:val="FFFFFF"/>
          <w:spacing w:val="2"/>
          <w:sz w:val="18"/>
          <w:szCs w:val="18"/>
        </w:rPr>
        <w:t xml:space="preserve">companies in over 100 countries. ICC’s core mission is to make business work for everyone, every </w:t>
      </w:r>
      <w:r>
        <w:rPr>
          <w:rFonts w:cs="Gotham Book"/>
          <w:color w:val="FFFFFF"/>
          <w:spacing w:val="2"/>
          <w:sz w:val="18"/>
          <w:szCs w:val="18"/>
        </w:rPr>
        <w:br/>
        <w:t xml:space="preserve">day, everywhere. Through a unique mix of advocacy, solutions and standard setting, we promote international trade, responsible business conduct and a global approach to regulation, in addition </w:t>
      </w:r>
      <w:r>
        <w:rPr>
          <w:rFonts w:cs="Gotham Book"/>
          <w:color w:val="FFFFFF"/>
          <w:spacing w:val="2"/>
          <w:sz w:val="18"/>
          <w:szCs w:val="18"/>
        </w:rPr>
        <w:br/>
        <w:t>to providing market-leading dispute resolution services. Our members include many of the world’</w:t>
      </w:r>
    </w:p>
    <w:sectPr w:rsidR="00F35117" w:rsidRPr="00FC524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DA85" w14:textId="77777777" w:rsidR="00C82AE1" w:rsidRDefault="00C82AE1" w:rsidP="00D72537">
      <w:pPr>
        <w:spacing w:after="0"/>
      </w:pPr>
      <w:r>
        <w:separator/>
      </w:r>
    </w:p>
  </w:endnote>
  <w:endnote w:type="continuationSeparator" w:id="0">
    <w:p w14:paraId="6C805FB4" w14:textId="77777777" w:rsidR="00C82AE1" w:rsidRDefault="00C82AE1" w:rsidP="00D72537">
      <w:pPr>
        <w:spacing w:after="0"/>
      </w:pPr>
      <w:r>
        <w:continuationSeparator/>
      </w:r>
    </w:p>
  </w:endnote>
  <w:endnote w:type="continuationNotice" w:id="1">
    <w:p w14:paraId="11FC3F1D" w14:textId="77777777" w:rsidR="008B0E78" w:rsidRDefault="008B0E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Book">
    <w:panose1 w:val="00000000000000000000"/>
    <w:charset w:val="00"/>
    <w:family w:val="auto"/>
    <w:notTrueType/>
    <w:pitch w:val="variable"/>
    <w:sig w:usb0="A00002FF" w:usb1="4000005B" w:usb2="00000000" w:usb3="00000000" w:csb0="0000009F" w:csb1="00000000"/>
  </w:font>
  <w:font w:name="ヒラギノ角ゴ Pro W3">
    <w:altName w:val="Yu Gothic"/>
    <w:panose1 w:val="020B0300000000000000"/>
    <w:charset w:val="80"/>
    <w:family w:val="auto"/>
    <w:pitch w:val="variable"/>
    <w:sig w:usb0="00000000" w:usb1="7AC7FFFF" w:usb2="00000012" w:usb3="00000000" w:csb0="0002000D" w:csb1="00000000"/>
  </w:font>
  <w:font w:name="MinionPro-Regular">
    <w:altName w:val="Cambria"/>
    <w:panose1 w:val="020B0604020202020204"/>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otham Bold">
    <w:panose1 w:val="00000000000000000000"/>
    <w:charset w:val="00"/>
    <w:family w:val="auto"/>
    <w:notTrueType/>
    <w:pitch w:val="variable"/>
    <w:sig w:usb0="A00002FF" w:usb1="40000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87D" w14:textId="199BFF24" w:rsidR="00D72537" w:rsidRPr="00D72537" w:rsidRDefault="00677A11" w:rsidP="00D72537">
    <w:pPr>
      <w:pStyle w:val="zFooter"/>
      <w:rPr>
        <w:color w:val="808080" w:themeColor="background1" w:themeShade="80"/>
      </w:rPr>
    </w:pPr>
    <w:r>
      <w:rPr>
        <w:color w:val="808080" w:themeColor="background1" w:themeShade="80"/>
      </w:rPr>
      <w:t xml:space="preserve">March </w:t>
    </w:r>
    <w:r w:rsidR="00D72537" w:rsidRPr="00C23402">
      <w:rPr>
        <w:color w:val="808080" w:themeColor="background1" w:themeShade="80"/>
      </w:rPr>
      <w:t xml:space="preserve">2022 | ICC response to OECD Pillar </w:t>
    </w:r>
    <w:r w:rsidR="00D72537">
      <w:rPr>
        <w:color w:val="808080" w:themeColor="background1" w:themeShade="80"/>
      </w:rPr>
      <w:t xml:space="preserve">2 GloBE </w:t>
    </w:r>
    <w:r w:rsidR="00D72537" w:rsidRPr="00C23402">
      <w:rPr>
        <w:color w:val="808080" w:themeColor="background1" w:themeShade="80"/>
      </w:rPr>
      <w:t xml:space="preserve">| </w:t>
    </w:r>
    <w:r w:rsidR="00D72537" w:rsidRPr="00C23402">
      <w:rPr>
        <w:b/>
        <w:bCs/>
        <w:color w:val="808080" w:themeColor="background1" w:themeShade="80"/>
      </w:rPr>
      <w:fldChar w:fldCharType="begin"/>
    </w:r>
    <w:r w:rsidR="00D72537" w:rsidRPr="00C23402">
      <w:rPr>
        <w:b/>
        <w:bCs/>
        <w:color w:val="808080" w:themeColor="background1" w:themeShade="80"/>
      </w:rPr>
      <w:instrText xml:space="preserve"> PAGE </w:instrText>
    </w:r>
    <w:r w:rsidR="00D72537" w:rsidRPr="00C23402">
      <w:rPr>
        <w:b/>
        <w:bCs/>
        <w:color w:val="808080" w:themeColor="background1" w:themeShade="80"/>
      </w:rPr>
      <w:fldChar w:fldCharType="separate"/>
    </w:r>
    <w:r w:rsidR="00D72537">
      <w:rPr>
        <w:b/>
        <w:bCs/>
        <w:color w:val="808080" w:themeColor="background1" w:themeShade="80"/>
      </w:rPr>
      <w:t>1</w:t>
    </w:r>
    <w:r w:rsidR="00D72537" w:rsidRPr="00C23402">
      <w:rPr>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B8E2" w14:textId="77777777" w:rsidR="00C82AE1" w:rsidRDefault="00C82AE1" w:rsidP="00D72537">
      <w:pPr>
        <w:spacing w:after="0"/>
      </w:pPr>
      <w:r>
        <w:separator/>
      </w:r>
    </w:p>
  </w:footnote>
  <w:footnote w:type="continuationSeparator" w:id="0">
    <w:p w14:paraId="1EDAF0A7" w14:textId="77777777" w:rsidR="00C82AE1" w:rsidRDefault="00C82AE1" w:rsidP="00D72537">
      <w:pPr>
        <w:spacing w:after="0"/>
      </w:pPr>
      <w:r>
        <w:continuationSeparator/>
      </w:r>
    </w:p>
  </w:footnote>
  <w:footnote w:type="continuationNotice" w:id="1">
    <w:p w14:paraId="63C6F335" w14:textId="77777777" w:rsidR="008B0E78" w:rsidRDefault="008B0E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9AF"/>
    <w:multiLevelType w:val="hybridMultilevel"/>
    <w:tmpl w:val="63D41E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2B5079"/>
    <w:multiLevelType w:val="hybridMultilevel"/>
    <w:tmpl w:val="ED08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00AD"/>
    <w:multiLevelType w:val="hybridMultilevel"/>
    <w:tmpl w:val="C2BE7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E52CA"/>
    <w:multiLevelType w:val="hybridMultilevel"/>
    <w:tmpl w:val="C0DC7354"/>
    <w:lvl w:ilvl="0" w:tplc="A1A84E6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E1C98"/>
    <w:multiLevelType w:val="hybridMultilevel"/>
    <w:tmpl w:val="3F502A5C"/>
    <w:lvl w:ilvl="0" w:tplc="0409001B">
      <w:start w:val="1"/>
      <w:numFmt w:val="lowerRoman"/>
      <w:lvlText w:val="%1."/>
      <w:lvlJc w:val="righ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13E4361F"/>
    <w:multiLevelType w:val="hybridMultilevel"/>
    <w:tmpl w:val="D8BAFE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30B5F80"/>
    <w:multiLevelType w:val="hybridMultilevel"/>
    <w:tmpl w:val="12BAD946"/>
    <w:lvl w:ilvl="0" w:tplc="228E1464">
      <w:start w:val="3"/>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4EA400A"/>
    <w:multiLevelType w:val="hybridMultilevel"/>
    <w:tmpl w:val="044AF5A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0640811"/>
    <w:multiLevelType w:val="hybridMultilevel"/>
    <w:tmpl w:val="6660E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874539"/>
    <w:multiLevelType w:val="hybridMultilevel"/>
    <w:tmpl w:val="2CF2C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1CE1287"/>
    <w:multiLevelType w:val="hybridMultilevel"/>
    <w:tmpl w:val="A210CB3C"/>
    <w:lvl w:ilvl="0" w:tplc="65284A1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3CC0B54"/>
    <w:multiLevelType w:val="hybridMultilevel"/>
    <w:tmpl w:val="7F0A0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792D08"/>
    <w:multiLevelType w:val="hybridMultilevel"/>
    <w:tmpl w:val="837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65F24"/>
    <w:multiLevelType w:val="hybridMultilevel"/>
    <w:tmpl w:val="4B3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358B4"/>
    <w:multiLevelType w:val="hybridMultilevel"/>
    <w:tmpl w:val="2BA82D9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EB44D6"/>
    <w:multiLevelType w:val="hybridMultilevel"/>
    <w:tmpl w:val="FA7C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5"/>
  </w:num>
  <w:num w:numId="6">
    <w:abstractNumId w:val="1"/>
  </w:num>
  <w:num w:numId="7">
    <w:abstractNumId w:val="8"/>
  </w:num>
  <w:num w:numId="8">
    <w:abstractNumId w:val="14"/>
  </w:num>
  <w:num w:numId="9">
    <w:abstractNumId w:val="9"/>
  </w:num>
  <w:num w:numId="10">
    <w:abstractNumId w:val="5"/>
  </w:num>
  <w:num w:numId="11">
    <w:abstractNumId w:val="4"/>
  </w:num>
  <w:num w:numId="12">
    <w:abstractNumId w:val="0"/>
  </w:num>
  <w:num w:numId="13">
    <w:abstractNumId w:val="6"/>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7"/>
    <w:rsid w:val="00000ACB"/>
    <w:rsid w:val="00007253"/>
    <w:rsid w:val="000147CC"/>
    <w:rsid w:val="000158A1"/>
    <w:rsid w:val="00033A7A"/>
    <w:rsid w:val="00053B34"/>
    <w:rsid w:val="00053E6C"/>
    <w:rsid w:val="0008207C"/>
    <w:rsid w:val="000A3188"/>
    <w:rsid w:val="000A4152"/>
    <w:rsid w:val="000A484E"/>
    <w:rsid w:val="000B21C8"/>
    <w:rsid w:val="000C1CCA"/>
    <w:rsid w:val="000C5E93"/>
    <w:rsid w:val="000C66A9"/>
    <w:rsid w:val="000D7E4B"/>
    <w:rsid w:val="000E5A02"/>
    <w:rsid w:val="00177747"/>
    <w:rsid w:val="00191267"/>
    <w:rsid w:val="001A6FE9"/>
    <w:rsid w:val="001B172F"/>
    <w:rsid w:val="001B3042"/>
    <w:rsid w:val="001B3E1F"/>
    <w:rsid w:val="001C1132"/>
    <w:rsid w:val="001C22B0"/>
    <w:rsid w:val="001C5559"/>
    <w:rsid w:val="001D46B0"/>
    <w:rsid w:val="001D7F4C"/>
    <w:rsid w:val="001F4691"/>
    <w:rsid w:val="001F49B7"/>
    <w:rsid w:val="001F6D14"/>
    <w:rsid w:val="001F7708"/>
    <w:rsid w:val="002078A6"/>
    <w:rsid w:val="00212B31"/>
    <w:rsid w:val="00216A01"/>
    <w:rsid w:val="0024225A"/>
    <w:rsid w:val="002571E7"/>
    <w:rsid w:val="002633FB"/>
    <w:rsid w:val="0026590E"/>
    <w:rsid w:val="00266700"/>
    <w:rsid w:val="002962AE"/>
    <w:rsid w:val="002B1AED"/>
    <w:rsid w:val="002B2E3E"/>
    <w:rsid w:val="002B6B76"/>
    <w:rsid w:val="002C1081"/>
    <w:rsid w:val="002C787C"/>
    <w:rsid w:val="002D7F64"/>
    <w:rsid w:val="002E2486"/>
    <w:rsid w:val="0030226C"/>
    <w:rsid w:val="0031050F"/>
    <w:rsid w:val="0038790C"/>
    <w:rsid w:val="00387E6A"/>
    <w:rsid w:val="003947FC"/>
    <w:rsid w:val="00397963"/>
    <w:rsid w:val="003C51EB"/>
    <w:rsid w:val="003D1069"/>
    <w:rsid w:val="003D2944"/>
    <w:rsid w:val="003D5805"/>
    <w:rsid w:val="003E0B9E"/>
    <w:rsid w:val="00443857"/>
    <w:rsid w:val="00445752"/>
    <w:rsid w:val="00447271"/>
    <w:rsid w:val="0047140D"/>
    <w:rsid w:val="00485FAB"/>
    <w:rsid w:val="004934A2"/>
    <w:rsid w:val="004949A2"/>
    <w:rsid w:val="005173DE"/>
    <w:rsid w:val="00552E13"/>
    <w:rsid w:val="00554A3D"/>
    <w:rsid w:val="005B0568"/>
    <w:rsid w:val="005B4E36"/>
    <w:rsid w:val="005E55BD"/>
    <w:rsid w:val="00633319"/>
    <w:rsid w:val="00635DF6"/>
    <w:rsid w:val="00652275"/>
    <w:rsid w:val="00652C0A"/>
    <w:rsid w:val="00666582"/>
    <w:rsid w:val="0067660D"/>
    <w:rsid w:val="00677A11"/>
    <w:rsid w:val="006A31F7"/>
    <w:rsid w:val="006B0F26"/>
    <w:rsid w:val="006B3620"/>
    <w:rsid w:val="006C55A6"/>
    <w:rsid w:val="006C75FF"/>
    <w:rsid w:val="006D1BE0"/>
    <w:rsid w:val="006E0DBA"/>
    <w:rsid w:val="006E192E"/>
    <w:rsid w:val="006F3628"/>
    <w:rsid w:val="007072E2"/>
    <w:rsid w:val="00711710"/>
    <w:rsid w:val="007126AF"/>
    <w:rsid w:val="0071403F"/>
    <w:rsid w:val="00724740"/>
    <w:rsid w:val="00730E52"/>
    <w:rsid w:val="00733A16"/>
    <w:rsid w:val="00751E71"/>
    <w:rsid w:val="0077066E"/>
    <w:rsid w:val="00771B28"/>
    <w:rsid w:val="007742D5"/>
    <w:rsid w:val="00795C73"/>
    <w:rsid w:val="007B322F"/>
    <w:rsid w:val="008041E7"/>
    <w:rsid w:val="00813821"/>
    <w:rsid w:val="00813C44"/>
    <w:rsid w:val="00820974"/>
    <w:rsid w:val="008467B1"/>
    <w:rsid w:val="0085010A"/>
    <w:rsid w:val="0085404F"/>
    <w:rsid w:val="008622A6"/>
    <w:rsid w:val="008725E0"/>
    <w:rsid w:val="008A7177"/>
    <w:rsid w:val="008A73B6"/>
    <w:rsid w:val="008B0E78"/>
    <w:rsid w:val="00914801"/>
    <w:rsid w:val="00922404"/>
    <w:rsid w:val="009263E0"/>
    <w:rsid w:val="009656E4"/>
    <w:rsid w:val="009B56E3"/>
    <w:rsid w:val="009C4401"/>
    <w:rsid w:val="009F5962"/>
    <w:rsid w:val="009F6AD7"/>
    <w:rsid w:val="00A474CE"/>
    <w:rsid w:val="00A7398C"/>
    <w:rsid w:val="00A75EB4"/>
    <w:rsid w:val="00A93068"/>
    <w:rsid w:val="00AB51B2"/>
    <w:rsid w:val="00AB7967"/>
    <w:rsid w:val="00AD2F95"/>
    <w:rsid w:val="00AD5CEF"/>
    <w:rsid w:val="00AE2385"/>
    <w:rsid w:val="00AE3BB1"/>
    <w:rsid w:val="00B36DE2"/>
    <w:rsid w:val="00B40863"/>
    <w:rsid w:val="00B4473B"/>
    <w:rsid w:val="00B60E2B"/>
    <w:rsid w:val="00B8737C"/>
    <w:rsid w:val="00B9608F"/>
    <w:rsid w:val="00BB1817"/>
    <w:rsid w:val="00BB3EBC"/>
    <w:rsid w:val="00BC3345"/>
    <w:rsid w:val="00BC670E"/>
    <w:rsid w:val="00BE5A38"/>
    <w:rsid w:val="00BF3A0B"/>
    <w:rsid w:val="00C017BD"/>
    <w:rsid w:val="00C02BEB"/>
    <w:rsid w:val="00C241AB"/>
    <w:rsid w:val="00C4787E"/>
    <w:rsid w:val="00C722BC"/>
    <w:rsid w:val="00C72C90"/>
    <w:rsid w:val="00C809B9"/>
    <w:rsid w:val="00C82AE1"/>
    <w:rsid w:val="00C92AA9"/>
    <w:rsid w:val="00CC0F18"/>
    <w:rsid w:val="00CD52E1"/>
    <w:rsid w:val="00CE6A4A"/>
    <w:rsid w:val="00CE7B68"/>
    <w:rsid w:val="00D133CC"/>
    <w:rsid w:val="00D14510"/>
    <w:rsid w:val="00D51A41"/>
    <w:rsid w:val="00D72537"/>
    <w:rsid w:val="00D73E98"/>
    <w:rsid w:val="00D93455"/>
    <w:rsid w:val="00DC042C"/>
    <w:rsid w:val="00DD0AE4"/>
    <w:rsid w:val="00DE2888"/>
    <w:rsid w:val="00DE2CF9"/>
    <w:rsid w:val="00DE329B"/>
    <w:rsid w:val="00DE5F26"/>
    <w:rsid w:val="00DF2C0E"/>
    <w:rsid w:val="00DF4E25"/>
    <w:rsid w:val="00DF7DCF"/>
    <w:rsid w:val="00E1535B"/>
    <w:rsid w:val="00E16D69"/>
    <w:rsid w:val="00E2540F"/>
    <w:rsid w:val="00E36915"/>
    <w:rsid w:val="00E445AC"/>
    <w:rsid w:val="00E611C5"/>
    <w:rsid w:val="00E95223"/>
    <w:rsid w:val="00EB0E3C"/>
    <w:rsid w:val="00EB65C2"/>
    <w:rsid w:val="00EC41C4"/>
    <w:rsid w:val="00EC45B9"/>
    <w:rsid w:val="00EC5800"/>
    <w:rsid w:val="00EC7170"/>
    <w:rsid w:val="00ED5FB3"/>
    <w:rsid w:val="00EE6F6C"/>
    <w:rsid w:val="00EF3878"/>
    <w:rsid w:val="00F13AEE"/>
    <w:rsid w:val="00F15427"/>
    <w:rsid w:val="00F156EC"/>
    <w:rsid w:val="00F15D01"/>
    <w:rsid w:val="00F17EA6"/>
    <w:rsid w:val="00F32CD1"/>
    <w:rsid w:val="00F3478A"/>
    <w:rsid w:val="00F35117"/>
    <w:rsid w:val="00F822DA"/>
    <w:rsid w:val="00FB2CEB"/>
    <w:rsid w:val="00FB7E8F"/>
    <w:rsid w:val="00FC524D"/>
    <w:rsid w:val="00FD0AD0"/>
    <w:rsid w:val="00FE665C"/>
    <w:rsid w:val="00FF44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1D0E"/>
  <w15:chartTrackingRefBased/>
  <w15:docId w15:val="{D6B6DDEA-45F4-4714-9118-0852EF13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72537"/>
    <w:pPr>
      <w:spacing w:after="120" w:line="240" w:lineRule="auto"/>
    </w:pPr>
    <w:rPr>
      <w:rFonts w:ascii="Gotham Book" w:eastAsia="ヒラギノ角ゴ Pro W3" w:hAnsi="Gotham Book" w:cs="Times New Roman"/>
      <w:color w:val="000000"/>
      <w:szCs w:val="24"/>
      <w:lang w:eastAsia="en-US"/>
    </w:rPr>
  </w:style>
  <w:style w:type="paragraph" w:styleId="Rubrik1">
    <w:name w:val="heading 1"/>
    <w:basedOn w:val="Normal"/>
    <w:link w:val="Rubrik1Char"/>
    <w:uiPriority w:val="9"/>
    <w:qFormat/>
    <w:rsid w:val="00711710"/>
    <w:pPr>
      <w:spacing w:before="100" w:beforeAutospacing="1" w:after="100" w:afterAutospacing="1"/>
      <w:outlineLvl w:val="0"/>
    </w:pPr>
    <w:rPr>
      <w:rFonts w:ascii="Times New Roman" w:eastAsia="Times New Roman" w:hAnsi="Times New Roman"/>
      <w:b/>
      <w:bCs/>
      <w:color w:val="auto"/>
      <w:kern w:val="36"/>
      <w:sz w:val="48"/>
      <w:szCs w:val="48"/>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D72537"/>
    <w:pPr>
      <w:spacing w:before="240" w:after="0" w:line="264" w:lineRule="auto"/>
    </w:pPr>
    <w:rPr>
      <w:b/>
      <w:bCs/>
      <w:color w:val="000000" w:themeColor="text1"/>
      <w:sz w:val="40"/>
      <w:szCs w:val="40"/>
    </w:rPr>
  </w:style>
  <w:style w:type="character" w:customStyle="1" w:styleId="RubrikChar">
    <w:name w:val="Rubrik Char"/>
    <w:basedOn w:val="Standardstycketeckensnitt"/>
    <w:link w:val="Rubrik"/>
    <w:rsid w:val="00D72537"/>
    <w:rPr>
      <w:rFonts w:ascii="Gotham Book" w:eastAsia="ヒラギノ角ゴ Pro W3" w:hAnsi="Gotham Book" w:cs="Times New Roman"/>
      <w:b/>
      <w:bCs/>
      <w:color w:val="000000" w:themeColor="text1"/>
      <w:sz w:val="40"/>
      <w:szCs w:val="40"/>
      <w:lang w:eastAsia="en-US"/>
    </w:rPr>
  </w:style>
  <w:style w:type="character" w:styleId="Hyperlnk">
    <w:name w:val="Hyperlink"/>
    <w:basedOn w:val="Standardstycketeckensnitt"/>
    <w:uiPriority w:val="99"/>
    <w:unhideWhenUsed/>
    <w:rsid w:val="00D72537"/>
    <w:rPr>
      <w:color w:val="0563C1" w:themeColor="hyperlink"/>
      <w:u w:val="single"/>
    </w:rPr>
  </w:style>
  <w:style w:type="paragraph" w:customStyle="1" w:styleId="zBandoTITLE">
    <w:name w:val="zBando TITLE"/>
    <w:basedOn w:val="Normal"/>
    <w:qFormat/>
    <w:rsid w:val="00D72537"/>
    <w:pPr>
      <w:spacing w:line="288" w:lineRule="auto"/>
    </w:pPr>
    <w:rPr>
      <w:b/>
      <w:bCs/>
      <w:color w:val="FFFFFF"/>
      <w:sz w:val="24"/>
    </w:rPr>
  </w:style>
  <w:style w:type="paragraph" w:styleId="Liststycke">
    <w:name w:val="List Paragraph"/>
    <w:basedOn w:val="Normal"/>
    <w:uiPriority w:val="34"/>
    <w:qFormat/>
    <w:rsid w:val="00D72537"/>
    <w:pPr>
      <w:ind w:left="720"/>
      <w:contextualSpacing/>
    </w:pPr>
  </w:style>
  <w:style w:type="paragraph" w:styleId="Sidhuvud">
    <w:name w:val="header"/>
    <w:basedOn w:val="Normal"/>
    <w:link w:val="SidhuvudChar"/>
    <w:uiPriority w:val="99"/>
    <w:unhideWhenUsed/>
    <w:rsid w:val="00D72537"/>
    <w:pPr>
      <w:tabs>
        <w:tab w:val="center" w:pos="4513"/>
        <w:tab w:val="right" w:pos="9026"/>
      </w:tabs>
      <w:spacing w:after="0"/>
    </w:pPr>
  </w:style>
  <w:style w:type="character" w:customStyle="1" w:styleId="SidhuvudChar">
    <w:name w:val="Sidhuvud Char"/>
    <w:basedOn w:val="Standardstycketeckensnitt"/>
    <w:link w:val="Sidhuvud"/>
    <w:uiPriority w:val="99"/>
    <w:rsid w:val="00D72537"/>
    <w:rPr>
      <w:rFonts w:ascii="Gotham Book" w:eastAsia="ヒラギノ角ゴ Pro W3" w:hAnsi="Gotham Book" w:cs="Times New Roman"/>
      <w:color w:val="000000"/>
      <w:szCs w:val="24"/>
      <w:lang w:eastAsia="en-US"/>
    </w:rPr>
  </w:style>
  <w:style w:type="paragraph" w:styleId="Sidfot">
    <w:name w:val="footer"/>
    <w:basedOn w:val="Normal"/>
    <w:link w:val="SidfotChar"/>
    <w:uiPriority w:val="99"/>
    <w:unhideWhenUsed/>
    <w:rsid w:val="00D72537"/>
    <w:pPr>
      <w:tabs>
        <w:tab w:val="center" w:pos="4513"/>
        <w:tab w:val="right" w:pos="9026"/>
      </w:tabs>
      <w:spacing w:after="0"/>
    </w:pPr>
  </w:style>
  <w:style w:type="character" w:customStyle="1" w:styleId="SidfotChar">
    <w:name w:val="Sidfot Char"/>
    <w:basedOn w:val="Standardstycketeckensnitt"/>
    <w:link w:val="Sidfot"/>
    <w:uiPriority w:val="99"/>
    <w:rsid w:val="00D72537"/>
    <w:rPr>
      <w:rFonts w:ascii="Gotham Book" w:eastAsia="ヒラギノ角ゴ Pro W3" w:hAnsi="Gotham Book" w:cs="Times New Roman"/>
      <w:color w:val="000000"/>
      <w:szCs w:val="24"/>
      <w:lang w:eastAsia="en-US"/>
    </w:rPr>
  </w:style>
  <w:style w:type="paragraph" w:customStyle="1" w:styleId="zFooter">
    <w:name w:val="z Footer"/>
    <w:basedOn w:val="Normal"/>
    <w:qFormat/>
    <w:rsid w:val="00D72537"/>
    <w:pPr>
      <w:spacing w:after="0"/>
      <w:jc w:val="center"/>
    </w:pPr>
    <w:rPr>
      <w:color w:val="5B9BD5" w:themeColor="accent5"/>
      <w:sz w:val="16"/>
      <w:szCs w:val="16"/>
    </w:rPr>
  </w:style>
  <w:style w:type="character" w:customStyle="1" w:styleId="Rubrik1Char">
    <w:name w:val="Rubrik 1 Char"/>
    <w:basedOn w:val="Standardstycketeckensnitt"/>
    <w:link w:val="Rubrik1"/>
    <w:uiPriority w:val="9"/>
    <w:rsid w:val="00711710"/>
    <w:rPr>
      <w:rFonts w:ascii="Times New Roman" w:eastAsia="Times New Roman" w:hAnsi="Times New Roman" w:cs="Times New Roman"/>
      <w:b/>
      <w:bCs/>
      <w:kern w:val="36"/>
      <w:sz w:val="48"/>
      <w:szCs w:val="48"/>
    </w:rPr>
  </w:style>
  <w:style w:type="character" w:styleId="AnvndHyperlnk">
    <w:name w:val="FollowedHyperlink"/>
    <w:basedOn w:val="Standardstycketeckensnitt"/>
    <w:uiPriority w:val="99"/>
    <w:semiHidden/>
    <w:unhideWhenUsed/>
    <w:rsid w:val="001B3042"/>
    <w:rPr>
      <w:color w:val="954F72" w:themeColor="followedHyperlink"/>
      <w:u w:val="single"/>
    </w:rPr>
  </w:style>
  <w:style w:type="paragraph" w:customStyle="1" w:styleId="Aucunstyle">
    <w:name w:val="[Aucun style]"/>
    <w:rsid w:val="00F35117"/>
    <w:pPr>
      <w:autoSpaceDE w:val="0"/>
      <w:autoSpaceDN w:val="0"/>
      <w:adjustRightInd w:val="0"/>
      <w:spacing w:after="0" w:line="288" w:lineRule="auto"/>
      <w:textAlignment w:val="center"/>
    </w:pPr>
    <w:rPr>
      <w:rFonts w:ascii="MinionPro-Regular" w:eastAsia="SimSun" w:hAnsi="MinionPro-Regular" w:cs="MinionPro-Regular"/>
      <w:color w:val="000000"/>
      <w:sz w:val="24"/>
      <w:szCs w:val="24"/>
      <w:lang w:val="fr-FR" w:eastAsia="en-US"/>
    </w:rPr>
  </w:style>
  <w:style w:type="character" w:styleId="Kommentarsreferens">
    <w:name w:val="annotation reference"/>
    <w:basedOn w:val="Standardstycketeckensnitt"/>
    <w:uiPriority w:val="99"/>
    <w:semiHidden/>
    <w:unhideWhenUsed/>
    <w:rsid w:val="00FD0AD0"/>
    <w:rPr>
      <w:sz w:val="16"/>
      <w:szCs w:val="16"/>
    </w:rPr>
  </w:style>
  <w:style w:type="paragraph" w:styleId="Kommentarer">
    <w:name w:val="annotation text"/>
    <w:basedOn w:val="Normal"/>
    <w:link w:val="KommentarerChar"/>
    <w:uiPriority w:val="99"/>
    <w:unhideWhenUsed/>
    <w:rsid w:val="00FD0AD0"/>
    <w:rPr>
      <w:sz w:val="20"/>
      <w:szCs w:val="20"/>
    </w:rPr>
  </w:style>
  <w:style w:type="character" w:customStyle="1" w:styleId="KommentarerChar">
    <w:name w:val="Kommentarer Char"/>
    <w:basedOn w:val="Standardstycketeckensnitt"/>
    <w:link w:val="Kommentarer"/>
    <w:uiPriority w:val="99"/>
    <w:rsid w:val="00FD0AD0"/>
    <w:rPr>
      <w:rFonts w:ascii="Gotham Book" w:eastAsia="ヒラギノ角ゴ Pro W3" w:hAnsi="Gotham Book" w:cs="Times New Roman"/>
      <w:color w:val="000000"/>
      <w:sz w:val="20"/>
      <w:szCs w:val="20"/>
      <w:lang w:eastAsia="en-US"/>
    </w:rPr>
  </w:style>
  <w:style w:type="paragraph" w:styleId="Kommentarsmne">
    <w:name w:val="annotation subject"/>
    <w:basedOn w:val="Kommentarer"/>
    <w:next w:val="Kommentarer"/>
    <w:link w:val="KommentarsmneChar"/>
    <w:uiPriority w:val="99"/>
    <w:semiHidden/>
    <w:unhideWhenUsed/>
    <w:rsid w:val="00FD0AD0"/>
    <w:rPr>
      <w:b/>
      <w:bCs/>
    </w:rPr>
  </w:style>
  <w:style w:type="character" w:customStyle="1" w:styleId="KommentarsmneChar">
    <w:name w:val="Kommentarsämne Char"/>
    <w:basedOn w:val="KommentarerChar"/>
    <w:link w:val="Kommentarsmne"/>
    <w:uiPriority w:val="99"/>
    <w:semiHidden/>
    <w:rsid w:val="00FD0AD0"/>
    <w:rPr>
      <w:rFonts w:ascii="Gotham Book" w:eastAsia="ヒラギノ角ゴ Pro W3" w:hAnsi="Gotham Book" w:cs="Times New Roman"/>
      <w:b/>
      <w:bCs/>
      <w:color w:val="000000"/>
      <w:sz w:val="20"/>
      <w:szCs w:val="20"/>
      <w:lang w:eastAsia="en-US"/>
    </w:rPr>
  </w:style>
  <w:style w:type="character" w:customStyle="1" w:styleId="normaltextrun">
    <w:name w:val="normaltextrun"/>
    <w:basedOn w:val="Standardstycketeckensnitt"/>
    <w:rsid w:val="003D1069"/>
  </w:style>
  <w:style w:type="character" w:customStyle="1" w:styleId="eop">
    <w:name w:val="eop"/>
    <w:basedOn w:val="Standardstycketeckensnitt"/>
    <w:rsid w:val="003D1069"/>
  </w:style>
  <w:style w:type="paragraph" w:styleId="Oformateradtext">
    <w:name w:val="Plain Text"/>
    <w:basedOn w:val="Normal"/>
    <w:link w:val="OformateradtextChar"/>
    <w:uiPriority w:val="99"/>
    <w:semiHidden/>
    <w:unhideWhenUsed/>
    <w:rsid w:val="00A7398C"/>
    <w:pPr>
      <w:spacing w:after="0"/>
    </w:pPr>
    <w:rPr>
      <w:rFonts w:ascii="Calibri" w:eastAsiaTheme="minorEastAsia" w:hAnsi="Calibri" w:cs="Calibri"/>
      <w:color w:val="auto"/>
      <w:szCs w:val="22"/>
      <w:lang w:eastAsia="zh-CN"/>
    </w:rPr>
  </w:style>
  <w:style w:type="character" w:customStyle="1" w:styleId="OformateradtextChar">
    <w:name w:val="Oformaterad text Char"/>
    <w:basedOn w:val="Standardstycketeckensnitt"/>
    <w:link w:val="Oformateradtext"/>
    <w:uiPriority w:val="99"/>
    <w:semiHidden/>
    <w:rsid w:val="00A7398C"/>
    <w:rPr>
      <w:rFonts w:ascii="Calibri" w:hAnsi="Calibri" w:cs="Calibri"/>
    </w:rPr>
  </w:style>
  <w:style w:type="character" w:styleId="Olstomnmnande">
    <w:name w:val="Unresolved Mention"/>
    <w:basedOn w:val="Standardstycketeckensnitt"/>
    <w:uiPriority w:val="99"/>
    <w:semiHidden/>
    <w:unhideWhenUsed/>
    <w:rsid w:val="00E6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741">
      <w:bodyDiv w:val="1"/>
      <w:marLeft w:val="0"/>
      <w:marRight w:val="0"/>
      <w:marTop w:val="0"/>
      <w:marBottom w:val="0"/>
      <w:divBdr>
        <w:top w:val="none" w:sz="0" w:space="0" w:color="auto"/>
        <w:left w:val="none" w:sz="0" w:space="0" w:color="auto"/>
        <w:bottom w:val="none" w:sz="0" w:space="0" w:color="auto"/>
        <w:right w:val="none" w:sz="0" w:space="0" w:color="auto"/>
      </w:divBdr>
    </w:div>
    <w:div w:id="122312195">
      <w:bodyDiv w:val="1"/>
      <w:marLeft w:val="0"/>
      <w:marRight w:val="0"/>
      <w:marTop w:val="0"/>
      <w:marBottom w:val="0"/>
      <w:divBdr>
        <w:top w:val="none" w:sz="0" w:space="0" w:color="auto"/>
        <w:left w:val="none" w:sz="0" w:space="0" w:color="auto"/>
        <w:bottom w:val="none" w:sz="0" w:space="0" w:color="auto"/>
        <w:right w:val="none" w:sz="0" w:space="0" w:color="auto"/>
      </w:divBdr>
    </w:div>
    <w:div w:id="230776392">
      <w:bodyDiv w:val="1"/>
      <w:marLeft w:val="0"/>
      <w:marRight w:val="0"/>
      <w:marTop w:val="0"/>
      <w:marBottom w:val="0"/>
      <w:divBdr>
        <w:top w:val="none" w:sz="0" w:space="0" w:color="auto"/>
        <w:left w:val="none" w:sz="0" w:space="0" w:color="auto"/>
        <w:bottom w:val="none" w:sz="0" w:space="0" w:color="auto"/>
        <w:right w:val="none" w:sz="0" w:space="0" w:color="auto"/>
      </w:divBdr>
    </w:div>
    <w:div w:id="402292621">
      <w:bodyDiv w:val="1"/>
      <w:marLeft w:val="0"/>
      <w:marRight w:val="0"/>
      <w:marTop w:val="0"/>
      <w:marBottom w:val="0"/>
      <w:divBdr>
        <w:top w:val="none" w:sz="0" w:space="0" w:color="auto"/>
        <w:left w:val="none" w:sz="0" w:space="0" w:color="auto"/>
        <w:bottom w:val="none" w:sz="0" w:space="0" w:color="auto"/>
        <w:right w:val="none" w:sz="0" w:space="0" w:color="auto"/>
      </w:divBdr>
    </w:div>
    <w:div w:id="415977696">
      <w:bodyDiv w:val="1"/>
      <w:marLeft w:val="0"/>
      <w:marRight w:val="0"/>
      <w:marTop w:val="0"/>
      <w:marBottom w:val="0"/>
      <w:divBdr>
        <w:top w:val="none" w:sz="0" w:space="0" w:color="auto"/>
        <w:left w:val="none" w:sz="0" w:space="0" w:color="auto"/>
        <w:bottom w:val="none" w:sz="0" w:space="0" w:color="auto"/>
        <w:right w:val="none" w:sz="0" w:space="0" w:color="auto"/>
      </w:divBdr>
    </w:div>
    <w:div w:id="722019446">
      <w:bodyDiv w:val="1"/>
      <w:marLeft w:val="0"/>
      <w:marRight w:val="0"/>
      <w:marTop w:val="0"/>
      <w:marBottom w:val="0"/>
      <w:divBdr>
        <w:top w:val="none" w:sz="0" w:space="0" w:color="auto"/>
        <w:left w:val="none" w:sz="0" w:space="0" w:color="auto"/>
        <w:bottom w:val="none" w:sz="0" w:space="0" w:color="auto"/>
        <w:right w:val="none" w:sz="0" w:space="0" w:color="auto"/>
      </w:divBdr>
    </w:div>
    <w:div w:id="1217624684">
      <w:bodyDiv w:val="1"/>
      <w:marLeft w:val="0"/>
      <w:marRight w:val="0"/>
      <w:marTop w:val="0"/>
      <w:marBottom w:val="0"/>
      <w:divBdr>
        <w:top w:val="none" w:sz="0" w:space="0" w:color="auto"/>
        <w:left w:val="none" w:sz="0" w:space="0" w:color="auto"/>
        <w:bottom w:val="none" w:sz="0" w:space="0" w:color="auto"/>
        <w:right w:val="none" w:sz="0" w:space="0" w:color="auto"/>
      </w:divBdr>
    </w:div>
    <w:div w:id="1308047418">
      <w:bodyDiv w:val="1"/>
      <w:marLeft w:val="0"/>
      <w:marRight w:val="0"/>
      <w:marTop w:val="0"/>
      <w:marBottom w:val="0"/>
      <w:divBdr>
        <w:top w:val="none" w:sz="0" w:space="0" w:color="auto"/>
        <w:left w:val="none" w:sz="0" w:space="0" w:color="auto"/>
        <w:bottom w:val="none" w:sz="0" w:space="0" w:color="auto"/>
        <w:right w:val="none" w:sz="0" w:space="0" w:color="auto"/>
      </w:divBdr>
    </w:div>
    <w:div w:id="1439058014">
      <w:bodyDiv w:val="1"/>
      <w:marLeft w:val="0"/>
      <w:marRight w:val="0"/>
      <w:marTop w:val="0"/>
      <w:marBottom w:val="0"/>
      <w:divBdr>
        <w:top w:val="none" w:sz="0" w:space="0" w:color="auto"/>
        <w:left w:val="none" w:sz="0" w:space="0" w:color="auto"/>
        <w:bottom w:val="none" w:sz="0" w:space="0" w:color="auto"/>
        <w:right w:val="none" w:sz="0" w:space="0" w:color="auto"/>
      </w:divBdr>
    </w:div>
    <w:div w:id="17782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ecd.org/tax/beps/tax-challenges-arising-from-the-digitalisation-of-the-economy-global-anti-base-erosion-model-rules-pillar-two.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cd.org/tax/beps/tax-challenges-arising-from-the-digitalisation-of-the-economy-global-anti-base-erosion-model-rules-pillar-two.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FD4A7-63E6-4F94-B054-ABD60033BAED}">
  <ds:schemaRefs>
    <ds:schemaRef ds:uri="http://schemas.microsoft.com/office/2006/metadata/properties"/>
    <ds:schemaRef ds:uri="http://schemas.microsoft.com/office/infopath/2007/PartnerControls"/>
    <ds:schemaRef ds:uri="598f140b-4145-4024-8bcc-6d7083f15a24"/>
    <ds:schemaRef ds:uri="6e0672cc-2b49-4aef-a692-9dbb21d7e3f3"/>
  </ds:schemaRefs>
</ds:datastoreItem>
</file>

<file path=customXml/itemProps2.xml><?xml version="1.0" encoding="utf-8"?>
<ds:datastoreItem xmlns:ds="http://schemas.openxmlformats.org/officeDocument/2006/customXml" ds:itemID="{63DF2C88-188F-4B5D-8690-233A71EF2EBD}">
  <ds:schemaRefs>
    <ds:schemaRef ds:uri="http://schemas.microsoft.com/sharepoint/v3/contenttype/forms"/>
  </ds:schemaRefs>
</ds:datastoreItem>
</file>

<file path=customXml/itemProps3.xml><?xml version="1.0" encoding="utf-8"?>
<ds:datastoreItem xmlns:ds="http://schemas.openxmlformats.org/officeDocument/2006/customXml" ds:itemID="{BB6582C7-E3ED-48E6-B6E9-FB0493F7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4596</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 Kseniia</dc:creator>
  <cp:keywords/>
  <dc:description/>
  <cp:lastModifiedBy>Alfred Ram</cp:lastModifiedBy>
  <cp:revision>2</cp:revision>
  <dcterms:created xsi:type="dcterms:W3CDTF">2022-03-28T07:15:00Z</dcterms:created>
  <dcterms:modified xsi:type="dcterms:W3CDTF">2022-03-28T07:15:00Z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ies>
</file>