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013A" w14:textId="04CFC826" w:rsidR="00971627" w:rsidRDefault="00971627" w:rsidP="00971627">
      <w:pPr>
        <w:pStyle w:val="Rubrik"/>
        <w:spacing w:before="0" w:line="240" w:lineRule="auto"/>
        <w:jc w:val="center"/>
        <w:rPr>
          <w:sz w:val="28"/>
          <w:szCs w:val="28"/>
        </w:rPr>
      </w:pPr>
      <w:r w:rsidRPr="00C2349C">
        <w:rPr>
          <w:noProof/>
        </w:rPr>
        <mc:AlternateContent>
          <mc:Choice Requires="wps">
            <w:drawing>
              <wp:anchor distT="0" distB="0" distL="114300" distR="114300" simplePos="0" relativeHeight="251658242" behindDoc="0" locked="0" layoutInCell="1" allowOverlap="1" wp14:anchorId="36F0B630" wp14:editId="7AA8E0E3">
                <wp:simplePos x="0" y="0"/>
                <wp:positionH relativeFrom="column">
                  <wp:posOffset>-568046</wp:posOffset>
                </wp:positionH>
                <wp:positionV relativeFrom="paragraph">
                  <wp:posOffset>-612558</wp:posOffset>
                </wp:positionV>
                <wp:extent cx="4288790" cy="750570"/>
                <wp:effectExtent l="0" t="0" r="0" b="0"/>
                <wp:wrapNone/>
                <wp:docPr id="2" name="Zone de texte 4"/>
                <wp:cNvGraphicFramePr/>
                <a:graphic xmlns:a="http://schemas.openxmlformats.org/drawingml/2006/main">
                  <a:graphicData uri="http://schemas.microsoft.com/office/word/2010/wordprocessingShape">
                    <wps:wsp>
                      <wps:cNvSpPr txBox="1"/>
                      <wps:spPr>
                        <a:xfrm>
                          <a:off x="0" y="0"/>
                          <a:ext cx="4288790" cy="750570"/>
                        </a:xfrm>
                        <a:prstGeom prst="rect">
                          <a:avLst/>
                        </a:prstGeom>
                        <a:noFill/>
                        <a:ln w="6350">
                          <a:noFill/>
                        </a:ln>
                      </wps:spPr>
                      <wps:txbx>
                        <w:txbxContent>
                          <w:p w14:paraId="68BE54F2" w14:textId="77777777" w:rsidR="00971627" w:rsidRPr="00732DD0" w:rsidRDefault="00971627" w:rsidP="00971627">
                            <w:pPr>
                              <w:pStyle w:val="zBandoTITLE"/>
                              <w:spacing w:after="0"/>
                              <w:rPr>
                                <w:sz w:val="40"/>
                                <w:szCs w:val="40"/>
                              </w:rPr>
                            </w:pPr>
                            <w:r>
                              <w:rPr>
                                <w:sz w:val="40"/>
                                <w:szCs w:val="40"/>
                              </w:rPr>
                              <w:t>ICC Global Taxation Commission</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0B630" id="_x0000_t202" coordsize="21600,21600" o:spt="202" path="m,l,21600r21600,l21600,xe">
                <v:stroke joinstyle="miter"/>
                <v:path gradientshapeok="t" o:connecttype="rect"/>
              </v:shapetype>
              <v:shape id="Zone de texte 4" o:spid="_x0000_s1026" type="#_x0000_t202" style="position:absolute;left:0;text-align:left;margin-left:-44.75pt;margin-top:-48.25pt;width:337.7pt;height:5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" filled="f" stroked="f" strokeweight=".5pt">
                <v:textbox inset="0">
                  <w:txbxContent>
                    <w:p w14:paraId="68BE54F2" w14:textId="77777777" w:rsidR="00971627" w:rsidRPr="00732DD0" w:rsidRDefault="00971627" w:rsidP="00971627">
                      <w:pPr>
                        <w:pStyle w:val="zBandoTITLE"/>
                        <w:spacing w:after="0"/>
                        <w:rPr>
                          <w:sz w:val="40"/>
                          <w:szCs w:val="40"/>
                        </w:rPr>
                      </w:pPr>
                      <w:r>
                        <w:rPr>
                          <w:sz w:val="40"/>
                          <w:szCs w:val="40"/>
                        </w:rPr>
                        <w:t>ICC Global Taxation Commission</w:t>
                      </w:r>
                    </w:p>
                  </w:txbxContent>
                </v:textbox>
              </v:shape>
            </w:pict>
          </mc:Fallback>
        </mc:AlternateContent>
      </w:r>
    </w:p>
    <w:p w14:paraId="1A30F7C7" w14:textId="5D1FD496" w:rsidR="00971627" w:rsidRDefault="00971627" w:rsidP="00971627">
      <w:pPr>
        <w:tabs>
          <w:tab w:val="left" w:pos="6637"/>
        </w:tabs>
      </w:pPr>
      <w:r w:rsidRPr="00C2349C">
        <w:rPr>
          <w:noProof/>
        </w:rPr>
        <w:drawing>
          <wp:anchor distT="0" distB="71755" distL="114300" distR="114300" simplePos="0" relativeHeight="251658241" behindDoc="1" locked="1" layoutInCell="1" allowOverlap="1" wp14:anchorId="47BD45E6" wp14:editId="432F629E">
            <wp:simplePos x="0" y="0"/>
            <wp:positionH relativeFrom="page">
              <wp:posOffset>-13970</wp:posOffset>
            </wp:positionH>
            <wp:positionV relativeFrom="page">
              <wp:posOffset>8890</wp:posOffset>
            </wp:positionV>
            <wp:extent cx="7565390" cy="1614805"/>
            <wp:effectExtent l="0" t="0" r="3810" b="0"/>
            <wp:wrapNone/>
            <wp:docPr id="9" name="Image 9"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Shape, arrow&#10;&#10;Description automatically generated"/>
                    <pic:cNvPicPr/>
                  </pic:nvPicPr>
                  <pic:blipFill>
                    <a:blip r:embed="rId11"/>
                    <a:stretch>
                      <a:fillRect/>
                    </a:stretch>
                  </pic:blipFill>
                  <pic:spPr>
                    <a:xfrm>
                      <a:off x="0" y="0"/>
                      <a:ext cx="7565390" cy="1614805"/>
                    </a:xfrm>
                    <a:prstGeom prst="rect">
                      <a:avLst/>
                    </a:prstGeom>
                  </pic:spPr>
                </pic:pic>
              </a:graphicData>
            </a:graphic>
            <wp14:sizeRelH relativeFrom="page">
              <wp14:pctWidth>0</wp14:pctWidth>
            </wp14:sizeRelH>
            <wp14:sizeRelV relativeFrom="page">
              <wp14:pctHeight>0</wp14:pctHeight>
            </wp14:sizeRelV>
          </wp:anchor>
        </w:drawing>
      </w:r>
    </w:p>
    <w:p w14:paraId="7C051AE2" w14:textId="4BC06AE4" w:rsidR="00971627" w:rsidRPr="00971627" w:rsidRDefault="00971627" w:rsidP="00971627">
      <w:pPr>
        <w:pStyle w:val="Rubrik"/>
        <w:spacing w:before="0" w:line="240" w:lineRule="auto"/>
        <w:jc w:val="center"/>
        <w:rPr>
          <w:color w:val="0070C0"/>
          <w:sz w:val="28"/>
          <w:szCs w:val="28"/>
        </w:rPr>
      </w:pPr>
      <w:r w:rsidRPr="00971627">
        <w:rPr>
          <w:color w:val="0070C0"/>
          <w:sz w:val="28"/>
          <w:szCs w:val="28"/>
        </w:rPr>
        <w:t xml:space="preserve">ICC comments in response to OECD public consultation document on the </w:t>
      </w:r>
      <w:r w:rsidRPr="00971627">
        <w:rPr>
          <w:i/>
          <w:iCs/>
          <w:color w:val="0070C0"/>
          <w:sz w:val="28"/>
          <w:szCs w:val="28"/>
        </w:rPr>
        <w:t xml:space="preserve">Draft Rules for </w:t>
      </w:r>
      <w:r>
        <w:rPr>
          <w:i/>
          <w:iCs/>
          <w:color w:val="0070C0"/>
          <w:sz w:val="28"/>
          <w:szCs w:val="28"/>
        </w:rPr>
        <w:t xml:space="preserve">Tax Base Determinations </w:t>
      </w:r>
      <w:r w:rsidRPr="00971627">
        <w:rPr>
          <w:color w:val="0070C0"/>
          <w:sz w:val="28"/>
          <w:szCs w:val="28"/>
        </w:rPr>
        <w:t xml:space="preserve">under </w:t>
      </w:r>
      <w:r w:rsidR="008220CA" w:rsidRPr="00971627">
        <w:rPr>
          <w:color w:val="0070C0"/>
          <w:sz w:val="28"/>
          <w:szCs w:val="28"/>
        </w:rPr>
        <w:t xml:space="preserve">Amount A </w:t>
      </w:r>
      <w:r w:rsidR="008220CA">
        <w:rPr>
          <w:color w:val="0070C0"/>
          <w:sz w:val="28"/>
          <w:szCs w:val="28"/>
        </w:rPr>
        <w:t xml:space="preserve">of </w:t>
      </w:r>
      <w:r w:rsidRPr="00971627">
        <w:rPr>
          <w:color w:val="0070C0"/>
          <w:sz w:val="28"/>
          <w:szCs w:val="28"/>
        </w:rPr>
        <w:t xml:space="preserve">Pillar One </w:t>
      </w:r>
    </w:p>
    <w:p w14:paraId="4321ADC1" w14:textId="77777777" w:rsidR="00971627" w:rsidRPr="00D90175" w:rsidRDefault="00971627" w:rsidP="00971627">
      <w:pPr>
        <w:spacing w:after="0"/>
      </w:pPr>
    </w:p>
    <w:p w14:paraId="78D6A2A2" w14:textId="44902CCA" w:rsidR="00971627" w:rsidRPr="00181D10" w:rsidRDefault="00971627" w:rsidP="00181D10">
      <w:pPr>
        <w:spacing w:after="0"/>
        <w:contextualSpacing/>
        <w:rPr>
          <w:rFonts w:cs="Arial"/>
          <w:szCs w:val="22"/>
        </w:rPr>
      </w:pPr>
      <w:r w:rsidRPr="00181D10">
        <w:rPr>
          <w:rFonts w:cs="Arial"/>
          <w:szCs w:val="22"/>
        </w:rPr>
        <w:t xml:space="preserve">The International Chamber of Commerce (ICC), as the world business organization speaking with authority on behalf of enterprises from all sectors in every part of the world, appreciates the opportunity to provide input on the OECD </w:t>
      </w:r>
      <w:hyperlink r:id="rId12" w:history="1">
        <w:r w:rsidRPr="00181D10">
          <w:rPr>
            <w:rStyle w:val="Hyperlnk"/>
            <w:rFonts w:cs="Arial"/>
            <w:szCs w:val="22"/>
          </w:rPr>
          <w:t>public consultation document</w:t>
        </w:r>
      </w:hyperlink>
      <w:r w:rsidRPr="00181D10">
        <w:rPr>
          <w:rFonts w:cs="Arial"/>
          <w:szCs w:val="22"/>
        </w:rPr>
        <w:t xml:space="preserve"> on the Draft Rules for Tax Base Determinations under </w:t>
      </w:r>
      <w:r w:rsidR="008220CA" w:rsidRPr="00181D10">
        <w:rPr>
          <w:rFonts w:cs="Arial"/>
          <w:szCs w:val="22"/>
        </w:rPr>
        <w:t xml:space="preserve">Amount A of </w:t>
      </w:r>
      <w:r w:rsidRPr="00181D10">
        <w:rPr>
          <w:rFonts w:cs="Arial"/>
          <w:szCs w:val="22"/>
        </w:rPr>
        <w:t xml:space="preserve">Pillar One. ICC advocates for a consistent global tax system, founded on the premise that stability, certainty and consistency in global tax principles are essential for business and will foster cross-border trade and investment. ICC is also an established arbitral institution through its International Court of Arbitration and provides other dispute resolution mechanisms through its International Centre for Alternative Dispute Resolution. </w:t>
      </w:r>
    </w:p>
    <w:p w14:paraId="5D2A1E0E" w14:textId="77777777" w:rsidR="00971627" w:rsidRPr="00181D10" w:rsidRDefault="00971627" w:rsidP="00181D10">
      <w:pPr>
        <w:spacing w:after="0"/>
        <w:contextualSpacing/>
        <w:rPr>
          <w:rFonts w:cs="Arial"/>
          <w:b/>
          <w:color w:val="0070C0"/>
          <w:szCs w:val="22"/>
          <w:u w:val="single"/>
        </w:rPr>
      </w:pPr>
    </w:p>
    <w:p w14:paraId="212065BB" w14:textId="57D704B0" w:rsidR="00263FD8" w:rsidRPr="00181D10" w:rsidRDefault="00971627" w:rsidP="00181D10">
      <w:pPr>
        <w:spacing w:after="0"/>
        <w:contextualSpacing/>
        <w:rPr>
          <w:rFonts w:cs="Arial"/>
          <w:color w:val="0070C0"/>
          <w:szCs w:val="22"/>
        </w:rPr>
      </w:pPr>
      <w:r w:rsidRPr="00181D10">
        <w:rPr>
          <w:rFonts w:cs="Arial"/>
          <w:b/>
          <w:color w:val="0070C0"/>
          <w:szCs w:val="22"/>
          <w:u w:val="single"/>
        </w:rPr>
        <w:t>General comments</w:t>
      </w:r>
    </w:p>
    <w:p w14:paraId="4D3CFDE3" w14:textId="26973D92" w:rsidR="00C56C25" w:rsidRDefault="00971627" w:rsidP="00181D10">
      <w:pPr>
        <w:spacing w:after="0"/>
        <w:rPr>
          <w:rFonts w:cs="Arial"/>
          <w:szCs w:val="22"/>
        </w:rPr>
      </w:pPr>
      <w:r w:rsidRPr="00181D10">
        <w:rPr>
          <w:rFonts w:cs="Arial"/>
          <w:szCs w:val="22"/>
        </w:rPr>
        <w:t xml:space="preserve">ICC appreciates the efforts made to ensure that the </w:t>
      </w:r>
      <w:r w:rsidRPr="00181D10">
        <w:rPr>
          <w:szCs w:val="22"/>
        </w:rPr>
        <w:t>tax base determinations rules</w:t>
      </w:r>
      <w:r w:rsidR="008220CA" w:rsidRPr="00181D10">
        <w:rPr>
          <w:szCs w:val="22"/>
        </w:rPr>
        <w:t xml:space="preserve"> have been designed to establish the profit (or loss) of an in-scope MNE that will be used for the Amount A calculations to reallocate a portion of its profits to market jurisdictions.</w:t>
      </w:r>
      <w:r w:rsidR="00C23402" w:rsidRPr="00181D10">
        <w:rPr>
          <w:szCs w:val="22"/>
        </w:rPr>
        <w:t xml:space="preserve"> The rules determine that profit (or loss) will be calculated on the basis of the consolidated group financial accounts, while making a limited number of book-to-tax adjustments. </w:t>
      </w:r>
      <w:r w:rsidR="008220CA" w:rsidRPr="00181D10">
        <w:rPr>
          <w:rFonts w:cs="Arial"/>
          <w:szCs w:val="22"/>
        </w:rPr>
        <w:t xml:space="preserve">In this regard, ICC welcomes the opportunity to provide input on how </w:t>
      </w:r>
      <w:r w:rsidR="00C56C25" w:rsidRPr="00181D10">
        <w:rPr>
          <w:rFonts w:cs="Arial"/>
          <w:szCs w:val="22"/>
        </w:rPr>
        <w:t xml:space="preserve">to better adjust the developed rules to </w:t>
      </w:r>
      <w:r w:rsidR="00C23402" w:rsidRPr="00181D10">
        <w:rPr>
          <w:rFonts w:cs="Arial"/>
          <w:szCs w:val="22"/>
        </w:rPr>
        <w:t>operational realities.</w:t>
      </w:r>
    </w:p>
    <w:p w14:paraId="044C9BAA" w14:textId="77777777" w:rsidR="005828DD" w:rsidRPr="00181D10" w:rsidRDefault="005828DD" w:rsidP="00181D10">
      <w:pPr>
        <w:spacing w:after="0"/>
        <w:rPr>
          <w:szCs w:val="22"/>
        </w:rPr>
      </w:pPr>
    </w:p>
    <w:p w14:paraId="6EDBC6CD" w14:textId="77777777" w:rsidR="00C23402" w:rsidRPr="00181D10" w:rsidRDefault="00C23402" w:rsidP="00181D10">
      <w:pPr>
        <w:spacing w:after="0"/>
        <w:contextualSpacing/>
        <w:rPr>
          <w:rFonts w:cs="Arial"/>
          <w:szCs w:val="22"/>
        </w:rPr>
      </w:pPr>
      <w:r w:rsidRPr="00181D10">
        <w:rPr>
          <w:rFonts w:cs="Arial"/>
          <w:szCs w:val="22"/>
        </w:rPr>
        <w:t>To this end, ICC provides the following general comments:</w:t>
      </w:r>
    </w:p>
    <w:p w14:paraId="42C0D1AE" w14:textId="4D447647" w:rsidR="004959FC" w:rsidRPr="00181D10" w:rsidRDefault="003742CC" w:rsidP="00181D10">
      <w:pPr>
        <w:pStyle w:val="Liststycke"/>
        <w:numPr>
          <w:ilvl w:val="0"/>
          <w:numId w:val="8"/>
        </w:numPr>
        <w:spacing w:after="0"/>
        <w:rPr>
          <w:rFonts w:eastAsiaTheme="minorEastAsia"/>
          <w:color w:val="auto"/>
          <w:szCs w:val="22"/>
        </w:rPr>
      </w:pPr>
      <w:r w:rsidRPr="00181D10">
        <w:rPr>
          <w:szCs w:val="22"/>
        </w:rPr>
        <w:t xml:space="preserve">In view of the current thresholds, a limited number of multinational enterprises (MNEs) </w:t>
      </w:r>
      <w:r w:rsidR="00BE2790" w:rsidRPr="00181D10">
        <w:rPr>
          <w:szCs w:val="22"/>
        </w:rPr>
        <w:t>will fall in scope of the new nexus rules and as such would need to calculate a tax ba</w:t>
      </w:r>
      <w:r w:rsidR="00A9624B" w:rsidRPr="00181D10">
        <w:rPr>
          <w:szCs w:val="22"/>
        </w:rPr>
        <w:t>s</w:t>
      </w:r>
      <w:r w:rsidR="00BE2790" w:rsidRPr="00181D10">
        <w:rPr>
          <w:szCs w:val="22"/>
        </w:rPr>
        <w:t xml:space="preserve">e for Amount A purposes.  However, </w:t>
      </w:r>
      <w:r w:rsidR="00CA1652" w:rsidRPr="00181D10">
        <w:rPr>
          <w:szCs w:val="22"/>
        </w:rPr>
        <w:t>it is clear that the same M</w:t>
      </w:r>
      <w:r w:rsidR="00427A06" w:rsidRPr="00181D10">
        <w:rPr>
          <w:szCs w:val="22"/>
        </w:rPr>
        <w:t xml:space="preserve">NEs will also be subject </w:t>
      </w:r>
      <w:r w:rsidR="004959FC" w:rsidRPr="00181D10">
        <w:rPr>
          <w:szCs w:val="22"/>
        </w:rPr>
        <w:t xml:space="preserve">to the Pillar </w:t>
      </w:r>
      <w:r w:rsidR="00A9624B" w:rsidRPr="00181D10">
        <w:rPr>
          <w:szCs w:val="22"/>
        </w:rPr>
        <w:t>Two</w:t>
      </w:r>
      <w:r w:rsidR="004959FC" w:rsidRPr="00181D10">
        <w:rPr>
          <w:szCs w:val="22"/>
        </w:rPr>
        <w:t xml:space="preserve"> minimum taxation rules</w:t>
      </w:r>
      <w:r w:rsidR="004E629A" w:rsidRPr="00181D10">
        <w:rPr>
          <w:szCs w:val="22"/>
        </w:rPr>
        <w:t xml:space="preserve"> - </w:t>
      </w:r>
      <w:r w:rsidR="004959FC" w:rsidRPr="00181D10">
        <w:rPr>
          <w:szCs w:val="22"/>
        </w:rPr>
        <w:t xml:space="preserve">where a tax base </w:t>
      </w:r>
      <w:r w:rsidR="004E629A" w:rsidRPr="00181D10">
        <w:rPr>
          <w:szCs w:val="22"/>
        </w:rPr>
        <w:t>will need to be determined too</w:t>
      </w:r>
      <w:r w:rsidR="004959FC" w:rsidRPr="00181D10">
        <w:rPr>
          <w:szCs w:val="22"/>
        </w:rPr>
        <w:t xml:space="preserve">. </w:t>
      </w:r>
    </w:p>
    <w:p w14:paraId="1DE9083F" w14:textId="77777777" w:rsidR="00622693" w:rsidRPr="00181D10" w:rsidRDefault="00622693" w:rsidP="00181D10">
      <w:pPr>
        <w:pStyle w:val="Liststycke"/>
        <w:spacing w:after="0"/>
        <w:rPr>
          <w:rFonts w:eastAsiaTheme="minorEastAsia"/>
          <w:color w:val="auto"/>
          <w:szCs w:val="22"/>
        </w:rPr>
      </w:pPr>
    </w:p>
    <w:p w14:paraId="7450DC87" w14:textId="21AD1646" w:rsidR="004959FC" w:rsidRPr="00181D10" w:rsidRDefault="00622693" w:rsidP="00181D10">
      <w:pPr>
        <w:pStyle w:val="Liststycke"/>
        <w:numPr>
          <w:ilvl w:val="0"/>
          <w:numId w:val="8"/>
        </w:numPr>
        <w:spacing w:after="0"/>
        <w:rPr>
          <w:szCs w:val="22"/>
        </w:rPr>
      </w:pPr>
      <w:r w:rsidRPr="00181D10">
        <w:rPr>
          <w:szCs w:val="22"/>
        </w:rPr>
        <w:t>Within the context of this scenario,</w:t>
      </w:r>
      <w:r w:rsidR="00B91986" w:rsidRPr="00181D10">
        <w:rPr>
          <w:szCs w:val="22"/>
        </w:rPr>
        <w:t xml:space="preserve"> ICC members believe that</w:t>
      </w:r>
      <w:r w:rsidRPr="00181D10">
        <w:rPr>
          <w:szCs w:val="22"/>
        </w:rPr>
        <w:t xml:space="preserve"> </w:t>
      </w:r>
      <w:r w:rsidR="004959FC" w:rsidRPr="00181D10">
        <w:rPr>
          <w:szCs w:val="22"/>
        </w:rPr>
        <w:t xml:space="preserve">the underlying principles and specific rules to calculate the tax base should be the same, </w:t>
      </w:r>
      <w:r w:rsidR="00246ABB" w:rsidRPr="00181D10">
        <w:rPr>
          <w:szCs w:val="22"/>
        </w:rPr>
        <w:t xml:space="preserve">particularly as it would not be justifiable to </w:t>
      </w:r>
      <w:r w:rsidR="005C256F" w:rsidRPr="00181D10">
        <w:rPr>
          <w:szCs w:val="22"/>
        </w:rPr>
        <w:t>have two separate systems for Pillar One and Pillar Two</w:t>
      </w:r>
      <w:r w:rsidR="000360D2" w:rsidRPr="00181D10">
        <w:rPr>
          <w:szCs w:val="22"/>
        </w:rPr>
        <w:t xml:space="preserve">, considering </w:t>
      </w:r>
      <w:r w:rsidR="004959FC" w:rsidRPr="00181D10">
        <w:rPr>
          <w:szCs w:val="22"/>
        </w:rPr>
        <w:t xml:space="preserve">the need for simplicity and workability of the new </w:t>
      </w:r>
      <w:r w:rsidR="000224D1" w:rsidRPr="00181D10">
        <w:rPr>
          <w:szCs w:val="22"/>
        </w:rPr>
        <w:t>tax rules</w:t>
      </w:r>
      <w:r w:rsidR="004959FC" w:rsidRPr="00181D10">
        <w:rPr>
          <w:szCs w:val="22"/>
        </w:rPr>
        <w:t xml:space="preserve">. Furthermore, </w:t>
      </w:r>
      <w:r w:rsidR="00520419" w:rsidRPr="00181D10">
        <w:rPr>
          <w:szCs w:val="22"/>
        </w:rPr>
        <w:t xml:space="preserve">the possibility of lowering the thresholds in the future should not be </w:t>
      </w:r>
      <w:r w:rsidR="005B28CA" w:rsidRPr="00181D10">
        <w:rPr>
          <w:szCs w:val="22"/>
        </w:rPr>
        <w:t>overlooked, which</w:t>
      </w:r>
      <w:r w:rsidR="00516AE1" w:rsidRPr="00181D10">
        <w:rPr>
          <w:szCs w:val="22"/>
        </w:rPr>
        <w:t xml:space="preserve"> would </w:t>
      </w:r>
      <w:r w:rsidR="00B11AB3" w:rsidRPr="00181D10">
        <w:rPr>
          <w:szCs w:val="22"/>
        </w:rPr>
        <w:t>essentially</w:t>
      </w:r>
      <w:r w:rsidR="00D33D54" w:rsidRPr="00181D10">
        <w:rPr>
          <w:szCs w:val="22"/>
        </w:rPr>
        <w:t xml:space="preserve"> broaden </w:t>
      </w:r>
      <w:r w:rsidR="004959FC" w:rsidRPr="00181D10">
        <w:rPr>
          <w:szCs w:val="22"/>
        </w:rPr>
        <w:t xml:space="preserve">the scope of companies falling under </w:t>
      </w:r>
      <w:r w:rsidR="006855BD" w:rsidRPr="00181D10">
        <w:rPr>
          <w:szCs w:val="22"/>
        </w:rPr>
        <w:t>the Pillar One</w:t>
      </w:r>
      <w:r w:rsidR="004959FC" w:rsidRPr="00181D10">
        <w:rPr>
          <w:szCs w:val="22"/>
        </w:rPr>
        <w:t xml:space="preserve"> rule</w:t>
      </w:r>
      <w:r w:rsidR="003F56A5" w:rsidRPr="00181D10">
        <w:rPr>
          <w:szCs w:val="22"/>
        </w:rPr>
        <w:t xml:space="preserve">s, that would need to apply </w:t>
      </w:r>
      <w:r w:rsidR="004959FC" w:rsidRPr="00181D10">
        <w:rPr>
          <w:szCs w:val="22"/>
        </w:rPr>
        <w:t>two different set of rules.</w:t>
      </w:r>
    </w:p>
    <w:p w14:paraId="0495B6D7" w14:textId="77777777" w:rsidR="00343AF9" w:rsidRPr="00181D10" w:rsidRDefault="00343AF9" w:rsidP="00181D10">
      <w:pPr>
        <w:pStyle w:val="Liststycke"/>
        <w:spacing w:after="0"/>
        <w:rPr>
          <w:szCs w:val="22"/>
        </w:rPr>
      </w:pPr>
    </w:p>
    <w:p w14:paraId="0D31A074" w14:textId="35B3B7DC" w:rsidR="00BD6447" w:rsidRPr="00181D10" w:rsidRDefault="00D74ECF" w:rsidP="00181D10">
      <w:pPr>
        <w:pStyle w:val="Liststycke"/>
        <w:numPr>
          <w:ilvl w:val="0"/>
          <w:numId w:val="8"/>
        </w:numPr>
        <w:spacing w:after="0"/>
        <w:rPr>
          <w:szCs w:val="22"/>
        </w:rPr>
      </w:pPr>
      <w:r w:rsidRPr="00181D10">
        <w:rPr>
          <w:szCs w:val="22"/>
        </w:rPr>
        <w:t>ICC believes that it</w:t>
      </w:r>
      <w:r w:rsidR="004959FC" w:rsidRPr="00181D10">
        <w:rPr>
          <w:szCs w:val="22"/>
        </w:rPr>
        <w:t xml:space="preserve"> is therefore essential tha</w:t>
      </w:r>
      <w:r w:rsidR="00BC525C" w:rsidRPr="00181D10">
        <w:rPr>
          <w:szCs w:val="22"/>
        </w:rPr>
        <w:t>t</w:t>
      </w:r>
      <w:r w:rsidR="004959FC" w:rsidRPr="00181D10">
        <w:rPr>
          <w:szCs w:val="22"/>
        </w:rPr>
        <w:t xml:space="preserve"> common rules on tax base determination for the purposes of </w:t>
      </w:r>
      <w:r w:rsidR="005B28CA" w:rsidRPr="00181D10">
        <w:rPr>
          <w:szCs w:val="22"/>
        </w:rPr>
        <w:t>Pillar One</w:t>
      </w:r>
      <w:r w:rsidR="004959FC" w:rsidRPr="00181D10">
        <w:rPr>
          <w:szCs w:val="22"/>
        </w:rPr>
        <w:t xml:space="preserve"> </w:t>
      </w:r>
      <w:r w:rsidR="00437DB9" w:rsidRPr="00181D10">
        <w:rPr>
          <w:szCs w:val="22"/>
        </w:rPr>
        <w:t>and Pillar Two</w:t>
      </w:r>
      <w:r w:rsidR="004959FC" w:rsidRPr="00181D10">
        <w:rPr>
          <w:szCs w:val="22"/>
        </w:rPr>
        <w:t xml:space="preserve"> </w:t>
      </w:r>
      <w:r w:rsidR="00DE5F51" w:rsidRPr="00181D10">
        <w:rPr>
          <w:szCs w:val="22"/>
        </w:rPr>
        <w:t xml:space="preserve">should be </w:t>
      </w:r>
      <w:r w:rsidR="004959FC" w:rsidRPr="00181D10">
        <w:rPr>
          <w:szCs w:val="22"/>
        </w:rPr>
        <w:t xml:space="preserve">fully aligned </w:t>
      </w:r>
      <w:r w:rsidR="00BC525C" w:rsidRPr="00181D10">
        <w:rPr>
          <w:szCs w:val="22"/>
        </w:rPr>
        <w:t>to the extent possible</w:t>
      </w:r>
      <w:r w:rsidR="00E0519A">
        <w:rPr>
          <w:szCs w:val="22"/>
        </w:rPr>
        <w:t>.  This do</w:t>
      </w:r>
      <w:r w:rsidR="00605541" w:rsidRPr="00181D10">
        <w:rPr>
          <w:szCs w:val="22"/>
        </w:rPr>
        <w:t>es not appear to be the case at the moment</w:t>
      </w:r>
      <w:r w:rsidR="00402B10" w:rsidRPr="00181D10">
        <w:rPr>
          <w:szCs w:val="22"/>
        </w:rPr>
        <w:t>;</w:t>
      </w:r>
      <w:r w:rsidR="00D64CF0" w:rsidRPr="00181D10">
        <w:rPr>
          <w:szCs w:val="22"/>
        </w:rPr>
        <w:t xml:space="preserve"> with </w:t>
      </w:r>
      <w:r w:rsidR="001E1050" w:rsidRPr="00181D10">
        <w:rPr>
          <w:szCs w:val="22"/>
        </w:rPr>
        <w:t>several</w:t>
      </w:r>
      <w:r w:rsidR="00D64CF0" w:rsidRPr="00181D10">
        <w:rPr>
          <w:szCs w:val="22"/>
        </w:rPr>
        <w:t xml:space="preserve"> differences already identified. </w:t>
      </w:r>
      <w:r w:rsidR="004959FC" w:rsidRPr="00181D10">
        <w:rPr>
          <w:szCs w:val="22"/>
        </w:rPr>
        <w:t xml:space="preserve">It would also be necessary to rely on a unique set of relevant definitions for the main terms used to determine the tax base for both Pillar </w:t>
      </w:r>
      <w:r w:rsidR="00BD6447" w:rsidRPr="00181D10">
        <w:rPr>
          <w:szCs w:val="22"/>
        </w:rPr>
        <w:t>One</w:t>
      </w:r>
      <w:r w:rsidR="004959FC" w:rsidRPr="00181D10">
        <w:rPr>
          <w:szCs w:val="22"/>
        </w:rPr>
        <w:t xml:space="preserve"> and </w:t>
      </w:r>
      <w:r w:rsidR="00BD6447" w:rsidRPr="00181D10">
        <w:rPr>
          <w:szCs w:val="22"/>
        </w:rPr>
        <w:t>Two</w:t>
      </w:r>
      <w:r w:rsidR="004959FC" w:rsidRPr="00181D10">
        <w:rPr>
          <w:szCs w:val="22"/>
        </w:rPr>
        <w:t xml:space="preserve"> calculations.</w:t>
      </w:r>
    </w:p>
    <w:p w14:paraId="43E53D69" w14:textId="77777777" w:rsidR="00BD6447" w:rsidRPr="00181D10" w:rsidRDefault="00BD6447" w:rsidP="00181D10">
      <w:pPr>
        <w:pStyle w:val="Liststycke"/>
        <w:spacing w:after="0"/>
        <w:rPr>
          <w:szCs w:val="22"/>
        </w:rPr>
      </w:pPr>
    </w:p>
    <w:p w14:paraId="4AB8AEA0" w14:textId="351A4846" w:rsidR="004959FC" w:rsidRPr="00181D10" w:rsidRDefault="004959FC" w:rsidP="00181D10">
      <w:pPr>
        <w:pStyle w:val="Liststycke"/>
        <w:numPr>
          <w:ilvl w:val="0"/>
          <w:numId w:val="8"/>
        </w:numPr>
        <w:spacing w:after="0"/>
        <w:rPr>
          <w:szCs w:val="22"/>
        </w:rPr>
      </w:pPr>
      <w:r w:rsidRPr="00181D10">
        <w:rPr>
          <w:szCs w:val="22"/>
        </w:rPr>
        <w:lastRenderedPageBreak/>
        <w:t xml:space="preserve">Current work on </w:t>
      </w:r>
      <w:r w:rsidR="00BD6447" w:rsidRPr="00181D10">
        <w:rPr>
          <w:szCs w:val="22"/>
        </w:rPr>
        <w:t>P</w:t>
      </w:r>
      <w:r w:rsidRPr="00181D10">
        <w:rPr>
          <w:szCs w:val="22"/>
        </w:rPr>
        <w:t xml:space="preserve">illar </w:t>
      </w:r>
      <w:r w:rsidR="00BD6447" w:rsidRPr="00181D10">
        <w:rPr>
          <w:szCs w:val="22"/>
        </w:rPr>
        <w:t>Two</w:t>
      </w:r>
      <w:r w:rsidRPr="00181D10">
        <w:rPr>
          <w:szCs w:val="22"/>
        </w:rPr>
        <w:t xml:space="preserve"> is </w:t>
      </w:r>
      <w:r w:rsidR="00531E7E" w:rsidRPr="00181D10">
        <w:rPr>
          <w:szCs w:val="22"/>
        </w:rPr>
        <w:t xml:space="preserve">more advanced than </w:t>
      </w:r>
      <w:r w:rsidRPr="00181D10">
        <w:rPr>
          <w:szCs w:val="22"/>
        </w:rPr>
        <w:t xml:space="preserve">that on </w:t>
      </w:r>
      <w:r w:rsidR="00531E7E" w:rsidRPr="00181D10">
        <w:rPr>
          <w:szCs w:val="22"/>
        </w:rPr>
        <w:t>Pillar One</w:t>
      </w:r>
      <w:r w:rsidRPr="00181D10">
        <w:rPr>
          <w:szCs w:val="22"/>
        </w:rPr>
        <w:t>, as</w:t>
      </w:r>
      <w:r w:rsidR="00C76703" w:rsidRPr="00181D10">
        <w:rPr>
          <w:szCs w:val="22"/>
        </w:rPr>
        <w:t xml:space="preserve"> the Model Rules</w:t>
      </w:r>
      <w:r w:rsidRPr="00181D10">
        <w:rPr>
          <w:szCs w:val="22"/>
        </w:rPr>
        <w:t xml:space="preserve"> on Pillar </w:t>
      </w:r>
      <w:r w:rsidR="00C76703" w:rsidRPr="00181D10">
        <w:rPr>
          <w:szCs w:val="22"/>
        </w:rPr>
        <w:t xml:space="preserve">Two were </w:t>
      </w:r>
      <w:r w:rsidR="008523A6" w:rsidRPr="00181D10">
        <w:rPr>
          <w:szCs w:val="22"/>
        </w:rPr>
        <w:t xml:space="preserve">released </w:t>
      </w:r>
      <w:r w:rsidR="00FF1352" w:rsidRPr="00181D10">
        <w:rPr>
          <w:szCs w:val="22"/>
        </w:rPr>
        <w:t>in December last year</w:t>
      </w:r>
      <w:r w:rsidR="00846853" w:rsidRPr="00181D10">
        <w:rPr>
          <w:szCs w:val="22"/>
        </w:rPr>
        <w:t xml:space="preserve"> and the commentary is expected </w:t>
      </w:r>
      <w:r w:rsidRPr="00181D10">
        <w:rPr>
          <w:szCs w:val="22"/>
        </w:rPr>
        <w:t xml:space="preserve">in the coming weeks. </w:t>
      </w:r>
      <w:r w:rsidR="00955A9F" w:rsidRPr="00181D10">
        <w:rPr>
          <w:szCs w:val="22"/>
        </w:rPr>
        <w:t xml:space="preserve"> </w:t>
      </w:r>
      <w:r w:rsidR="00CE3CB3" w:rsidRPr="00181D10">
        <w:rPr>
          <w:szCs w:val="22"/>
        </w:rPr>
        <w:t>A</w:t>
      </w:r>
      <w:r w:rsidRPr="00181D10">
        <w:rPr>
          <w:szCs w:val="22"/>
        </w:rPr>
        <w:t xml:space="preserve"> significant amount of </w:t>
      </w:r>
      <w:r w:rsidR="00955A9F" w:rsidRPr="00181D10">
        <w:rPr>
          <w:szCs w:val="22"/>
        </w:rPr>
        <w:t xml:space="preserve">reflection and attention has been given </w:t>
      </w:r>
      <w:r w:rsidR="0034726F" w:rsidRPr="00181D10">
        <w:rPr>
          <w:szCs w:val="22"/>
        </w:rPr>
        <w:t xml:space="preserve">to </w:t>
      </w:r>
      <w:r w:rsidR="0045546B" w:rsidRPr="00181D10">
        <w:rPr>
          <w:szCs w:val="22"/>
        </w:rPr>
        <w:t>issues related to the tax base</w:t>
      </w:r>
      <w:r w:rsidR="005828DD">
        <w:rPr>
          <w:szCs w:val="22"/>
        </w:rPr>
        <w:t xml:space="preserve">, </w:t>
      </w:r>
      <w:r w:rsidRPr="00181D10">
        <w:rPr>
          <w:szCs w:val="22"/>
        </w:rPr>
        <w:t xml:space="preserve">which undoubtedly would be </w:t>
      </w:r>
      <w:r w:rsidR="003814D3" w:rsidRPr="00181D10">
        <w:rPr>
          <w:szCs w:val="22"/>
        </w:rPr>
        <w:t xml:space="preserve">of </w:t>
      </w:r>
      <w:r w:rsidRPr="00181D10">
        <w:rPr>
          <w:szCs w:val="22"/>
        </w:rPr>
        <w:t>benefi</w:t>
      </w:r>
      <w:r w:rsidR="003814D3" w:rsidRPr="00181D10">
        <w:rPr>
          <w:szCs w:val="22"/>
        </w:rPr>
        <w:t>t to consider in the context of the</w:t>
      </w:r>
      <w:r w:rsidRPr="00181D10">
        <w:rPr>
          <w:szCs w:val="22"/>
        </w:rPr>
        <w:t xml:space="preserve"> current </w:t>
      </w:r>
      <w:r w:rsidR="003814D3" w:rsidRPr="00181D10">
        <w:rPr>
          <w:szCs w:val="22"/>
        </w:rPr>
        <w:t xml:space="preserve">Pillar One </w:t>
      </w:r>
      <w:r w:rsidRPr="00181D10">
        <w:rPr>
          <w:szCs w:val="22"/>
        </w:rPr>
        <w:t xml:space="preserve">process. The tax base determination is a </w:t>
      </w:r>
      <w:r w:rsidR="00BF0806" w:rsidRPr="00181D10">
        <w:rPr>
          <w:szCs w:val="22"/>
        </w:rPr>
        <w:t xml:space="preserve">relatively </w:t>
      </w:r>
      <w:r w:rsidRPr="00181D10">
        <w:rPr>
          <w:szCs w:val="22"/>
        </w:rPr>
        <w:t>complex and technical exercise</w:t>
      </w:r>
      <w:r w:rsidR="00BF0806" w:rsidRPr="00181D10">
        <w:rPr>
          <w:szCs w:val="22"/>
        </w:rPr>
        <w:t xml:space="preserve">, which has benefited from input and expertise from the </w:t>
      </w:r>
      <w:r w:rsidRPr="00181D10">
        <w:rPr>
          <w:szCs w:val="22"/>
        </w:rPr>
        <w:t xml:space="preserve">Business Advisory Group on Pillar </w:t>
      </w:r>
      <w:r w:rsidR="00BF0806" w:rsidRPr="00181D10">
        <w:rPr>
          <w:szCs w:val="22"/>
        </w:rPr>
        <w:t>Two</w:t>
      </w:r>
      <w:r w:rsidR="00B51BBA" w:rsidRPr="00181D10">
        <w:rPr>
          <w:szCs w:val="22"/>
        </w:rPr>
        <w:t xml:space="preserve">, to ensure that the </w:t>
      </w:r>
      <w:r w:rsidRPr="00181D10">
        <w:rPr>
          <w:szCs w:val="22"/>
        </w:rPr>
        <w:t>final model</w:t>
      </w:r>
      <w:r w:rsidR="00E62D10" w:rsidRPr="00181D10">
        <w:rPr>
          <w:szCs w:val="22"/>
        </w:rPr>
        <w:t xml:space="preserve"> rules are workable</w:t>
      </w:r>
      <w:r w:rsidR="002A7833" w:rsidRPr="00181D10">
        <w:rPr>
          <w:szCs w:val="22"/>
        </w:rPr>
        <w:t xml:space="preserve"> and </w:t>
      </w:r>
      <w:r w:rsidRPr="00181D10">
        <w:rPr>
          <w:szCs w:val="22"/>
        </w:rPr>
        <w:t>align with business practices. In this re</w:t>
      </w:r>
      <w:r w:rsidR="002A7833" w:rsidRPr="00181D10">
        <w:rPr>
          <w:szCs w:val="22"/>
        </w:rPr>
        <w:t>spect, ICC holds that the</w:t>
      </w:r>
      <w:r w:rsidRPr="00181D10">
        <w:rPr>
          <w:szCs w:val="22"/>
        </w:rPr>
        <w:t xml:space="preserve"> main principles agreed for </w:t>
      </w:r>
      <w:r w:rsidR="002A7833" w:rsidRPr="00181D10">
        <w:rPr>
          <w:szCs w:val="22"/>
        </w:rPr>
        <w:t xml:space="preserve">the Pillar Two </w:t>
      </w:r>
      <w:r w:rsidRPr="00181D10">
        <w:rPr>
          <w:szCs w:val="22"/>
        </w:rPr>
        <w:t xml:space="preserve">tax base determination should also be </w:t>
      </w:r>
      <w:r w:rsidR="002A7833" w:rsidRPr="00181D10">
        <w:rPr>
          <w:szCs w:val="22"/>
        </w:rPr>
        <w:t xml:space="preserve">considered for </w:t>
      </w:r>
      <w:r w:rsidR="00C95FFF" w:rsidRPr="00181D10">
        <w:rPr>
          <w:szCs w:val="22"/>
        </w:rPr>
        <w:t>Pillar One</w:t>
      </w:r>
      <w:r w:rsidR="00C5206C" w:rsidRPr="00181D10">
        <w:rPr>
          <w:szCs w:val="22"/>
        </w:rPr>
        <w:t xml:space="preserve">: </w:t>
      </w:r>
      <w:r w:rsidR="00C95FFF" w:rsidRPr="00181D10">
        <w:rPr>
          <w:szCs w:val="22"/>
        </w:rPr>
        <w:t>namely c</w:t>
      </w:r>
      <w:r w:rsidRPr="00181D10">
        <w:rPr>
          <w:szCs w:val="22"/>
        </w:rPr>
        <w:t xml:space="preserve">onsolidated financial statements </w:t>
      </w:r>
      <w:r w:rsidR="00C95FFF" w:rsidRPr="00181D10">
        <w:rPr>
          <w:szCs w:val="22"/>
        </w:rPr>
        <w:t xml:space="preserve">should serve </w:t>
      </w:r>
      <w:r w:rsidRPr="00181D10">
        <w:rPr>
          <w:szCs w:val="22"/>
        </w:rPr>
        <w:t>as starting point for calculation (</w:t>
      </w:r>
      <w:r w:rsidR="00C5206C" w:rsidRPr="00181D10">
        <w:rPr>
          <w:szCs w:val="22"/>
        </w:rPr>
        <w:t xml:space="preserve">as </w:t>
      </w:r>
      <w:r w:rsidRPr="00181D10">
        <w:rPr>
          <w:szCs w:val="22"/>
        </w:rPr>
        <w:t xml:space="preserve">already considered in the public consultation document), certain adjustments, treatment of </w:t>
      </w:r>
      <w:r w:rsidR="00C5206C" w:rsidRPr="00181D10">
        <w:rPr>
          <w:szCs w:val="22"/>
        </w:rPr>
        <w:t>joint ventures</w:t>
      </w:r>
      <w:r w:rsidRPr="00181D10">
        <w:rPr>
          <w:szCs w:val="22"/>
        </w:rPr>
        <w:t>, etc.</w:t>
      </w:r>
    </w:p>
    <w:p w14:paraId="36D1B389" w14:textId="77777777" w:rsidR="00C5206C" w:rsidRPr="00181D10" w:rsidRDefault="00C5206C" w:rsidP="00181D10">
      <w:pPr>
        <w:pStyle w:val="Liststycke"/>
        <w:spacing w:after="0"/>
        <w:rPr>
          <w:szCs w:val="22"/>
        </w:rPr>
      </w:pPr>
    </w:p>
    <w:p w14:paraId="43108946" w14:textId="17AB1E6E" w:rsidR="004959FC" w:rsidRPr="00181D10" w:rsidRDefault="004959FC" w:rsidP="00181D10">
      <w:pPr>
        <w:pStyle w:val="Liststycke"/>
        <w:numPr>
          <w:ilvl w:val="0"/>
          <w:numId w:val="8"/>
        </w:numPr>
        <w:spacing w:after="0"/>
        <w:rPr>
          <w:szCs w:val="22"/>
        </w:rPr>
      </w:pPr>
      <w:r w:rsidRPr="00181D10">
        <w:rPr>
          <w:szCs w:val="22"/>
        </w:rPr>
        <w:t xml:space="preserve">As specific rules for those Groups subject to segmentation for Amount A purposes have not been released yet, no feedback can be provided at this </w:t>
      </w:r>
      <w:r w:rsidR="006E4EDB" w:rsidRPr="00181D10">
        <w:rPr>
          <w:szCs w:val="22"/>
        </w:rPr>
        <w:t xml:space="preserve">point in time.  However, ICC members believe that </w:t>
      </w:r>
      <w:r w:rsidRPr="00181D10">
        <w:rPr>
          <w:szCs w:val="22"/>
        </w:rPr>
        <w:t xml:space="preserve">an integrated approach should be followed and specific rules for segmentation should </w:t>
      </w:r>
      <w:r w:rsidR="00E376E7" w:rsidRPr="00181D10">
        <w:rPr>
          <w:szCs w:val="22"/>
        </w:rPr>
        <w:t xml:space="preserve">be integrated in </w:t>
      </w:r>
      <w:r w:rsidRPr="00181D10">
        <w:rPr>
          <w:szCs w:val="22"/>
        </w:rPr>
        <w:t xml:space="preserve">the general principles designed for tax base determination, </w:t>
      </w:r>
      <w:r w:rsidR="00E25A02" w:rsidRPr="00181D10">
        <w:rPr>
          <w:szCs w:val="22"/>
        </w:rPr>
        <w:t xml:space="preserve">undermined by the need for </w:t>
      </w:r>
      <w:r w:rsidRPr="00181D10">
        <w:rPr>
          <w:szCs w:val="22"/>
        </w:rPr>
        <w:t xml:space="preserve">simplicity. </w:t>
      </w:r>
    </w:p>
    <w:p w14:paraId="61653EFF" w14:textId="77777777" w:rsidR="00F533AE" w:rsidRPr="00181D10" w:rsidRDefault="00F533AE" w:rsidP="00181D10">
      <w:pPr>
        <w:pStyle w:val="Liststycke"/>
        <w:spacing w:after="0"/>
        <w:rPr>
          <w:szCs w:val="22"/>
        </w:rPr>
      </w:pPr>
    </w:p>
    <w:p w14:paraId="7F935E1A" w14:textId="638B951C" w:rsidR="004959FC" w:rsidRPr="00181D10" w:rsidRDefault="00E0494B" w:rsidP="00181D10">
      <w:pPr>
        <w:pStyle w:val="Liststycke"/>
        <w:numPr>
          <w:ilvl w:val="0"/>
          <w:numId w:val="8"/>
        </w:numPr>
        <w:spacing w:after="0"/>
        <w:rPr>
          <w:szCs w:val="22"/>
        </w:rPr>
      </w:pPr>
      <w:r w:rsidRPr="00181D10">
        <w:rPr>
          <w:szCs w:val="22"/>
        </w:rPr>
        <w:t>ICC also believes that maintaining</w:t>
      </w:r>
      <w:r w:rsidR="006125FF" w:rsidRPr="00181D10">
        <w:rPr>
          <w:szCs w:val="22"/>
        </w:rPr>
        <w:t xml:space="preserve"> </w:t>
      </w:r>
      <w:r w:rsidR="004959FC" w:rsidRPr="00181D10">
        <w:rPr>
          <w:szCs w:val="22"/>
        </w:rPr>
        <w:t>a balance</w:t>
      </w:r>
      <w:r w:rsidR="006125FF" w:rsidRPr="00181D10">
        <w:rPr>
          <w:szCs w:val="22"/>
        </w:rPr>
        <w:t>d compliance</w:t>
      </w:r>
      <w:r w:rsidR="004959FC" w:rsidRPr="00181D10">
        <w:rPr>
          <w:szCs w:val="22"/>
        </w:rPr>
        <w:t xml:space="preserve"> burden </w:t>
      </w:r>
      <w:r w:rsidR="006125FF" w:rsidRPr="00181D10">
        <w:rPr>
          <w:szCs w:val="22"/>
        </w:rPr>
        <w:t xml:space="preserve">for </w:t>
      </w:r>
      <w:r w:rsidR="004959FC" w:rsidRPr="00181D10">
        <w:rPr>
          <w:szCs w:val="22"/>
        </w:rPr>
        <w:t xml:space="preserve">Covered Groups should also be </w:t>
      </w:r>
      <w:r w:rsidR="006125FF" w:rsidRPr="00181D10">
        <w:rPr>
          <w:szCs w:val="22"/>
        </w:rPr>
        <w:t xml:space="preserve">considered as </w:t>
      </w:r>
      <w:r w:rsidR="004959FC" w:rsidRPr="00181D10">
        <w:rPr>
          <w:szCs w:val="22"/>
        </w:rPr>
        <w:t xml:space="preserve">a </w:t>
      </w:r>
      <w:r w:rsidR="00382E58" w:rsidRPr="00181D10">
        <w:rPr>
          <w:szCs w:val="22"/>
        </w:rPr>
        <w:t xml:space="preserve">pertinent </w:t>
      </w:r>
      <w:r w:rsidR="004959FC" w:rsidRPr="00181D10">
        <w:rPr>
          <w:szCs w:val="22"/>
        </w:rPr>
        <w:t xml:space="preserve">objective in order </w:t>
      </w:r>
      <w:r w:rsidR="00382E58" w:rsidRPr="00181D10">
        <w:rPr>
          <w:szCs w:val="22"/>
        </w:rPr>
        <w:t xml:space="preserve">to limit the </w:t>
      </w:r>
      <w:r w:rsidRPr="00181D10">
        <w:rPr>
          <w:szCs w:val="22"/>
        </w:rPr>
        <w:t xml:space="preserve">administrative complexity for taxpayers </w:t>
      </w:r>
      <w:r w:rsidR="00C0125C" w:rsidRPr="00181D10">
        <w:rPr>
          <w:szCs w:val="22"/>
        </w:rPr>
        <w:t>who</w:t>
      </w:r>
      <w:r w:rsidRPr="00181D10">
        <w:rPr>
          <w:szCs w:val="22"/>
        </w:rPr>
        <w:t xml:space="preserve"> are subject to </w:t>
      </w:r>
      <w:r w:rsidR="004959FC" w:rsidRPr="00181D10">
        <w:rPr>
          <w:szCs w:val="22"/>
        </w:rPr>
        <w:t xml:space="preserve">an increasing number of </w:t>
      </w:r>
      <w:r w:rsidRPr="00181D10">
        <w:rPr>
          <w:szCs w:val="22"/>
        </w:rPr>
        <w:t xml:space="preserve">reporting </w:t>
      </w:r>
      <w:r w:rsidR="004959FC" w:rsidRPr="00181D10">
        <w:rPr>
          <w:szCs w:val="22"/>
        </w:rPr>
        <w:t>obligations.</w:t>
      </w:r>
    </w:p>
    <w:p w14:paraId="2B31BD36" w14:textId="77777777" w:rsidR="00C0125C" w:rsidRPr="00181D10" w:rsidRDefault="00C0125C" w:rsidP="00181D10">
      <w:pPr>
        <w:pStyle w:val="Liststycke"/>
        <w:spacing w:after="0"/>
        <w:rPr>
          <w:szCs w:val="22"/>
        </w:rPr>
      </w:pPr>
    </w:p>
    <w:p w14:paraId="0A4B213C" w14:textId="463B4ADA" w:rsidR="00C23402" w:rsidRPr="00181D10" w:rsidRDefault="00EB586C" w:rsidP="00181D10">
      <w:pPr>
        <w:pStyle w:val="Liststycke"/>
        <w:numPr>
          <w:ilvl w:val="0"/>
          <w:numId w:val="8"/>
        </w:numPr>
        <w:spacing w:after="0"/>
        <w:rPr>
          <w:szCs w:val="22"/>
        </w:rPr>
      </w:pPr>
      <w:r w:rsidRPr="00181D10">
        <w:rPr>
          <w:szCs w:val="22"/>
        </w:rPr>
        <w:t>C</w:t>
      </w:r>
      <w:r w:rsidR="004959FC" w:rsidRPr="00181D10">
        <w:rPr>
          <w:szCs w:val="22"/>
        </w:rPr>
        <w:t xml:space="preserve">omplex rules for determining the tax base would be detrimental not only for the business community but also for many tax administrations </w:t>
      </w:r>
      <w:r w:rsidRPr="00181D10">
        <w:rPr>
          <w:szCs w:val="22"/>
        </w:rPr>
        <w:t xml:space="preserve">who may have </w:t>
      </w:r>
      <w:r w:rsidR="00F444A6" w:rsidRPr="00181D10">
        <w:rPr>
          <w:szCs w:val="22"/>
        </w:rPr>
        <w:t xml:space="preserve">limited technical capabilities and resources. </w:t>
      </w:r>
      <w:r w:rsidR="00544814" w:rsidRPr="00181D10">
        <w:rPr>
          <w:szCs w:val="22"/>
        </w:rPr>
        <w:t xml:space="preserve">Lack of clarity </w:t>
      </w:r>
      <w:r w:rsidR="006706C4" w:rsidRPr="00181D10">
        <w:rPr>
          <w:szCs w:val="22"/>
        </w:rPr>
        <w:t xml:space="preserve">and differences in interpretation </w:t>
      </w:r>
      <w:r w:rsidR="00A95836" w:rsidRPr="00181D10">
        <w:rPr>
          <w:szCs w:val="22"/>
        </w:rPr>
        <w:t xml:space="preserve">for implementing the rules, </w:t>
      </w:r>
      <w:r w:rsidR="006706C4" w:rsidRPr="00181D10">
        <w:rPr>
          <w:szCs w:val="22"/>
        </w:rPr>
        <w:t>could lead to increased instances of double ta</w:t>
      </w:r>
      <w:r w:rsidR="00581699" w:rsidRPr="00181D10">
        <w:rPr>
          <w:szCs w:val="22"/>
        </w:rPr>
        <w:t>xation</w:t>
      </w:r>
      <w:r w:rsidR="00A95836" w:rsidRPr="00181D10">
        <w:rPr>
          <w:szCs w:val="22"/>
        </w:rPr>
        <w:t xml:space="preserve"> and disputes</w:t>
      </w:r>
      <w:r w:rsidR="00581699" w:rsidRPr="00181D10">
        <w:rPr>
          <w:szCs w:val="22"/>
        </w:rPr>
        <w:t>.</w:t>
      </w:r>
      <w:r w:rsidR="000F5A51" w:rsidRPr="00181D10">
        <w:rPr>
          <w:szCs w:val="22"/>
        </w:rPr>
        <w:t xml:space="preserve">  </w:t>
      </w:r>
      <w:r w:rsidR="000F5A51" w:rsidRPr="00181D10">
        <w:rPr>
          <w:rFonts w:cs="Arial"/>
          <w:szCs w:val="22"/>
        </w:rPr>
        <w:t>In this respect, ICC once again reiterates the importance of a robust dispute avoidance and dispute resolution mechanisms for jurisdictions that adopt the OECD guidance. It is critical that a co-ordinated, centralised dispute resolution mechanism be put in place for all aspects of Pillar One and Two.</w:t>
      </w:r>
    </w:p>
    <w:p w14:paraId="770E67B2" w14:textId="77777777" w:rsidR="00581699" w:rsidRPr="00181D10" w:rsidRDefault="00581699" w:rsidP="00181D10">
      <w:pPr>
        <w:pStyle w:val="Liststycke"/>
        <w:spacing w:after="0"/>
        <w:rPr>
          <w:szCs w:val="22"/>
        </w:rPr>
      </w:pPr>
    </w:p>
    <w:p w14:paraId="47CE011E" w14:textId="3D6E7BDA" w:rsidR="001552A9" w:rsidRPr="00181D10" w:rsidRDefault="001552A9" w:rsidP="00181D10">
      <w:pPr>
        <w:pStyle w:val="Liststycke"/>
        <w:numPr>
          <w:ilvl w:val="0"/>
          <w:numId w:val="10"/>
        </w:numPr>
        <w:spacing w:after="0"/>
        <w:rPr>
          <w:szCs w:val="22"/>
        </w:rPr>
      </w:pPr>
      <w:r w:rsidRPr="00181D10">
        <w:rPr>
          <w:szCs w:val="22"/>
        </w:rPr>
        <w:t>The consolidated financial accounts of a Covered Group will show 100% of the revenues and profits of a consolidated subsidiary. This is also the case when the Covered Group has an ownership interest of (far less) than 100%, for example when a shareholder agreement grants the Covered Group control over the company even when it owns less than 50% of the voting capital. However, the draft does</w:t>
      </w:r>
      <w:r w:rsidR="008162CB" w:rsidRPr="00181D10">
        <w:rPr>
          <w:szCs w:val="22"/>
        </w:rPr>
        <w:t xml:space="preserve"> not appear</w:t>
      </w:r>
      <w:r w:rsidRPr="00181D10">
        <w:rPr>
          <w:szCs w:val="22"/>
        </w:rPr>
        <w:t xml:space="preserve"> to provide for any further adjustment that could be used to remove relevant revenues or profit that economically do</w:t>
      </w:r>
      <w:r w:rsidR="008162CB" w:rsidRPr="00181D10">
        <w:rPr>
          <w:szCs w:val="22"/>
        </w:rPr>
        <w:t xml:space="preserve"> not </w:t>
      </w:r>
      <w:r w:rsidRPr="00181D10">
        <w:rPr>
          <w:szCs w:val="22"/>
        </w:rPr>
        <w:t xml:space="preserve">belong to the Covered Group. </w:t>
      </w:r>
    </w:p>
    <w:p w14:paraId="450DCA45" w14:textId="15008CF9" w:rsidR="001552A9" w:rsidRPr="00181D10" w:rsidRDefault="008162CB" w:rsidP="00181D10">
      <w:pPr>
        <w:spacing w:after="0"/>
        <w:ind w:left="720"/>
        <w:rPr>
          <w:b/>
          <w:bCs/>
          <w:szCs w:val="22"/>
        </w:rPr>
      </w:pPr>
      <w:r w:rsidRPr="00181D10">
        <w:rPr>
          <w:szCs w:val="22"/>
        </w:rPr>
        <w:t xml:space="preserve">ICC members believe that this </w:t>
      </w:r>
      <w:r w:rsidR="001552A9" w:rsidRPr="00181D10">
        <w:rPr>
          <w:szCs w:val="22"/>
        </w:rPr>
        <w:t xml:space="preserve">seems counter- intuitive, given that the Covered Group in effect seems to be paying Pillar </w:t>
      </w:r>
      <w:r w:rsidR="00214A8F" w:rsidRPr="00181D10">
        <w:rPr>
          <w:szCs w:val="22"/>
        </w:rPr>
        <w:t>One</w:t>
      </w:r>
      <w:r w:rsidR="001552A9" w:rsidRPr="00181D10">
        <w:rPr>
          <w:szCs w:val="22"/>
        </w:rPr>
        <w:t xml:space="preserve"> Amount A tax based on revenues and profits that economically do not belong to it</w:t>
      </w:r>
      <w:r w:rsidR="0078542B" w:rsidRPr="00181D10">
        <w:rPr>
          <w:szCs w:val="22"/>
        </w:rPr>
        <w:t>.</w:t>
      </w:r>
    </w:p>
    <w:p w14:paraId="349328D1" w14:textId="77777777" w:rsidR="005828DD" w:rsidRDefault="005828DD" w:rsidP="00181D10">
      <w:pPr>
        <w:spacing w:after="0"/>
        <w:ind w:left="720"/>
        <w:rPr>
          <w:b/>
          <w:szCs w:val="22"/>
        </w:rPr>
      </w:pPr>
    </w:p>
    <w:p w14:paraId="48ED02F1" w14:textId="77777777" w:rsidR="005828DD" w:rsidRDefault="005828DD">
      <w:pPr>
        <w:spacing w:after="160" w:line="259" w:lineRule="auto"/>
        <w:rPr>
          <w:b/>
          <w:szCs w:val="22"/>
        </w:rPr>
      </w:pPr>
      <w:r>
        <w:rPr>
          <w:b/>
          <w:szCs w:val="22"/>
        </w:rPr>
        <w:br w:type="page"/>
      </w:r>
    </w:p>
    <w:p w14:paraId="06EF3D95" w14:textId="0C919AD1" w:rsidR="00724F0A" w:rsidRPr="00181D10" w:rsidRDefault="00724F0A" w:rsidP="00181D10">
      <w:pPr>
        <w:spacing w:after="0"/>
        <w:ind w:left="720"/>
        <w:rPr>
          <w:b/>
          <w:szCs w:val="22"/>
        </w:rPr>
      </w:pPr>
      <w:r w:rsidRPr="00181D10">
        <w:rPr>
          <w:b/>
          <w:szCs w:val="22"/>
        </w:rPr>
        <w:t xml:space="preserve">Example: </w:t>
      </w:r>
    </w:p>
    <w:tbl>
      <w:tblPr>
        <w:tblW w:w="7342" w:type="dxa"/>
        <w:tblInd w:w="720" w:type="dxa"/>
        <w:tblCellMar>
          <w:left w:w="0" w:type="dxa"/>
          <w:right w:w="0" w:type="dxa"/>
        </w:tblCellMar>
        <w:tblLook w:val="04A0" w:firstRow="1" w:lastRow="0" w:firstColumn="1" w:lastColumn="0" w:noHBand="0" w:noVBand="1"/>
      </w:tblPr>
      <w:tblGrid>
        <w:gridCol w:w="2740"/>
        <w:gridCol w:w="960"/>
        <w:gridCol w:w="1401"/>
        <w:gridCol w:w="1716"/>
        <w:gridCol w:w="960"/>
      </w:tblGrid>
      <w:tr w:rsidR="00724F0A" w:rsidRPr="00181D10" w14:paraId="6CC28336" w14:textId="77777777" w:rsidTr="00214A8F">
        <w:trPr>
          <w:trHeight w:val="280"/>
        </w:trPr>
        <w:tc>
          <w:tcPr>
            <w:tcW w:w="2740"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231A219F" w14:textId="77777777" w:rsidR="00724F0A" w:rsidRPr="00181D10" w:rsidRDefault="00724F0A" w:rsidP="00181D10">
            <w:pPr>
              <w:spacing w:after="0"/>
              <w:jc w:val="center"/>
              <w:rPr>
                <w:b/>
                <w:bCs/>
                <w:color w:val="FFFFFF"/>
                <w:szCs w:val="22"/>
              </w:rPr>
            </w:pPr>
            <w:r w:rsidRPr="00181D10">
              <w:rPr>
                <w:b/>
                <w:bCs/>
                <w:color w:val="FFFFFF"/>
                <w:szCs w:val="22"/>
              </w:rPr>
              <w:t>Item</w:t>
            </w:r>
          </w:p>
        </w:tc>
        <w:tc>
          <w:tcPr>
            <w:tcW w:w="960"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3C8895D9" w14:textId="77777777" w:rsidR="00724F0A" w:rsidRPr="00181D10" w:rsidRDefault="00724F0A" w:rsidP="00181D10">
            <w:pPr>
              <w:spacing w:after="0"/>
              <w:jc w:val="center"/>
              <w:rPr>
                <w:b/>
                <w:bCs/>
                <w:color w:val="FFFFFF"/>
                <w:szCs w:val="22"/>
              </w:rPr>
            </w:pPr>
            <w:r w:rsidRPr="00181D10">
              <w:rPr>
                <w:b/>
                <w:bCs/>
                <w:color w:val="FFFFFF"/>
                <w:szCs w:val="22"/>
              </w:rPr>
              <w:t>UPE</w:t>
            </w:r>
          </w:p>
        </w:tc>
        <w:tc>
          <w:tcPr>
            <w:tcW w:w="1231"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5EE96B70" w14:textId="77777777" w:rsidR="00724F0A" w:rsidRPr="00181D10" w:rsidRDefault="00724F0A" w:rsidP="00181D10">
            <w:pPr>
              <w:spacing w:after="0"/>
              <w:jc w:val="center"/>
              <w:rPr>
                <w:b/>
                <w:bCs/>
                <w:color w:val="FFFFFF"/>
                <w:szCs w:val="22"/>
              </w:rPr>
            </w:pPr>
            <w:r w:rsidRPr="00181D10">
              <w:rPr>
                <w:b/>
                <w:bCs/>
                <w:color w:val="FFFFFF"/>
                <w:szCs w:val="22"/>
              </w:rPr>
              <w:t>Subsidiary</w:t>
            </w:r>
          </w:p>
        </w:tc>
        <w:tc>
          <w:tcPr>
            <w:tcW w:w="1451"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3BCB9E13" w14:textId="77777777" w:rsidR="00724F0A" w:rsidRPr="00181D10" w:rsidRDefault="00724F0A" w:rsidP="00181D10">
            <w:pPr>
              <w:spacing w:after="0"/>
              <w:jc w:val="center"/>
              <w:rPr>
                <w:b/>
                <w:bCs/>
                <w:color w:val="FFFFFF"/>
                <w:szCs w:val="22"/>
              </w:rPr>
            </w:pPr>
            <w:r w:rsidRPr="00181D10">
              <w:rPr>
                <w:b/>
                <w:bCs/>
                <w:color w:val="FFFFFF"/>
                <w:szCs w:val="22"/>
              </w:rPr>
              <w:t>Consolidated</w:t>
            </w:r>
          </w:p>
        </w:tc>
        <w:tc>
          <w:tcPr>
            <w:tcW w:w="960"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0D7C1872" w14:textId="77777777" w:rsidR="00724F0A" w:rsidRPr="00181D10" w:rsidRDefault="00724F0A" w:rsidP="00181D10">
            <w:pPr>
              <w:spacing w:after="0"/>
              <w:jc w:val="center"/>
              <w:rPr>
                <w:b/>
                <w:bCs/>
                <w:color w:val="FFFFFF"/>
                <w:szCs w:val="22"/>
              </w:rPr>
            </w:pPr>
            <w:r w:rsidRPr="00181D10">
              <w:rPr>
                <w:b/>
                <w:bCs/>
                <w:color w:val="FFFFFF"/>
                <w:szCs w:val="22"/>
              </w:rPr>
              <w:t>Mark</w:t>
            </w:r>
          </w:p>
        </w:tc>
      </w:tr>
      <w:tr w:rsidR="00724F0A" w:rsidRPr="00181D10" w14:paraId="6B6F4ADE" w14:textId="77777777" w:rsidTr="00214A8F">
        <w:trPr>
          <w:trHeight w:val="280"/>
        </w:trPr>
        <w:tc>
          <w:tcPr>
            <w:tcW w:w="274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D30987D" w14:textId="77777777" w:rsidR="00724F0A" w:rsidRPr="00181D10" w:rsidRDefault="00724F0A" w:rsidP="00181D10">
            <w:pPr>
              <w:spacing w:after="0"/>
              <w:rPr>
                <w:color w:val="C00000"/>
                <w:szCs w:val="22"/>
              </w:rPr>
            </w:pPr>
            <w:r w:rsidRPr="00181D10">
              <w:rPr>
                <w:color w:val="C00000"/>
                <w:szCs w:val="22"/>
              </w:rPr>
              <w:t>Profit</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C56E693" w14:textId="77777777" w:rsidR="00724F0A" w:rsidRPr="00181D10" w:rsidRDefault="00724F0A" w:rsidP="00181D10">
            <w:pPr>
              <w:spacing w:after="0"/>
              <w:jc w:val="right"/>
              <w:rPr>
                <w:color w:val="C00000"/>
                <w:szCs w:val="22"/>
              </w:rPr>
            </w:pPr>
            <w:r w:rsidRPr="00181D10">
              <w:rPr>
                <w:color w:val="C00000"/>
                <w:szCs w:val="22"/>
              </w:rPr>
              <w:t>1000</w:t>
            </w:r>
          </w:p>
        </w:tc>
        <w:tc>
          <w:tcPr>
            <w:tcW w:w="123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CD87649" w14:textId="77777777" w:rsidR="00724F0A" w:rsidRPr="00181D10" w:rsidRDefault="00724F0A" w:rsidP="00181D10">
            <w:pPr>
              <w:spacing w:after="0"/>
              <w:jc w:val="right"/>
              <w:rPr>
                <w:color w:val="C00000"/>
                <w:szCs w:val="22"/>
              </w:rPr>
            </w:pPr>
            <w:r w:rsidRPr="00181D10">
              <w:rPr>
                <w:color w:val="C00000"/>
                <w:szCs w:val="22"/>
              </w:rPr>
              <w:t>100</w:t>
            </w:r>
          </w:p>
        </w:tc>
        <w:tc>
          <w:tcPr>
            <w:tcW w:w="145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73EA30A" w14:textId="77777777" w:rsidR="00724F0A" w:rsidRPr="00181D10" w:rsidRDefault="00724F0A" w:rsidP="00181D10">
            <w:pPr>
              <w:spacing w:after="0"/>
              <w:jc w:val="right"/>
              <w:rPr>
                <w:color w:val="C00000"/>
                <w:szCs w:val="22"/>
              </w:rPr>
            </w:pPr>
            <w:r w:rsidRPr="00181D10">
              <w:rPr>
                <w:color w:val="C00000"/>
                <w:szCs w:val="22"/>
              </w:rPr>
              <w:t>1100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018C47" w14:textId="77777777" w:rsidR="00724F0A" w:rsidRPr="00181D10" w:rsidRDefault="00724F0A" w:rsidP="00181D10">
            <w:pPr>
              <w:spacing w:after="0"/>
              <w:jc w:val="center"/>
              <w:rPr>
                <w:color w:val="C00000"/>
                <w:szCs w:val="22"/>
              </w:rPr>
            </w:pPr>
            <w:r w:rsidRPr="00181D10">
              <w:rPr>
                <w:color w:val="C00000"/>
                <w:szCs w:val="22"/>
              </w:rPr>
              <w:t>N</w:t>
            </w:r>
          </w:p>
        </w:tc>
      </w:tr>
      <w:tr w:rsidR="00724F0A" w:rsidRPr="00181D10" w14:paraId="1B596202" w14:textId="77777777" w:rsidTr="00214A8F">
        <w:trPr>
          <w:trHeight w:val="280"/>
        </w:trPr>
        <w:tc>
          <w:tcPr>
            <w:tcW w:w="27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982701" w14:textId="77777777" w:rsidR="00724F0A" w:rsidRPr="00181D10" w:rsidRDefault="00724F0A" w:rsidP="00181D10">
            <w:pPr>
              <w:spacing w:after="0"/>
              <w:rPr>
                <w:szCs w:val="22"/>
              </w:rPr>
            </w:pPr>
            <w:r w:rsidRPr="00181D10">
              <w:rPr>
                <w:szCs w:val="22"/>
              </w:rPr>
              <w:t>Covered Group share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1D0AB0" w14:textId="77777777" w:rsidR="00724F0A" w:rsidRPr="00181D10" w:rsidRDefault="00724F0A" w:rsidP="00181D10">
            <w:pPr>
              <w:spacing w:after="0"/>
              <w:rPr>
                <w:szCs w:val="22"/>
              </w:rPr>
            </w:pPr>
          </w:p>
        </w:tc>
        <w:tc>
          <w:tcPr>
            <w:tcW w:w="12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FB3B0" w14:textId="77777777" w:rsidR="00724F0A" w:rsidRPr="00181D10" w:rsidRDefault="00724F0A" w:rsidP="00181D10">
            <w:pPr>
              <w:spacing w:after="0"/>
              <w:jc w:val="right"/>
              <w:rPr>
                <w:szCs w:val="22"/>
              </w:rPr>
            </w:pPr>
            <w:r w:rsidRPr="00181D10">
              <w:rPr>
                <w:szCs w:val="22"/>
              </w:rPr>
              <w:t>51%</w:t>
            </w:r>
          </w:p>
        </w:tc>
        <w:tc>
          <w:tcPr>
            <w:tcW w:w="14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D5828" w14:textId="77777777" w:rsidR="00724F0A" w:rsidRPr="00181D10" w:rsidRDefault="00724F0A" w:rsidP="00181D10">
            <w:pPr>
              <w:spacing w:after="0"/>
              <w:rPr>
                <w:szCs w:val="22"/>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BBB9D" w14:textId="77777777" w:rsidR="00724F0A" w:rsidRPr="00181D10" w:rsidRDefault="00724F0A" w:rsidP="00181D10">
            <w:pPr>
              <w:spacing w:after="0"/>
              <w:rPr>
                <w:rFonts w:eastAsia="Times New Roman"/>
                <w:szCs w:val="22"/>
              </w:rPr>
            </w:pPr>
          </w:p>
        </w:tc>
      </w:tr>
      <w:tr w:rsidR="00724F0A" w:rsidRPr="00181D10" w14:paraId="781C274B" w14:textId="77777777" w:rsidTr="00214A8F">
        <w:trPr>
          <w:trHeight w:val="280"/>
        </w:trPr>
        <w:tc>
          <w:tcPr>
            <w:tcW w:w="274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F11B6D3" w14:textId="77777777" w:rsidR="00724F0A" w:rsidRPr="00181D10" w:rsidRDefault="00724F0A" w:rsidP="00181D10">
            <w:pPr>
              <w:spacing w:after="0"/>
              <w:rPr>
                <w:color w:val="C00000"/>
                <w:szCs w:val="22"/>
              </w:rPr>
            </w:pPr>
            <w:r w:rsidRPr="00181D10">
              <w:rPr>
                <w:color w:val="C00000"/>
                <w:szCs w:val="22"/>
              </w:rPr>
              <w:t>Minority interest share of profits</w:t>
            </w:r>
          </w:p>
        </w:tc>
        <w:tc>
          <w:tcPr>
            <w:tcW w:w="9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9F9D28" w14:textId="77777777" w:rsidR="00724F0A" w:rsidRPr="00181D10" w:rsidRDefault="00724F0A" w:rsidP="00181D10">
            <w:pPr>
              <w:spacing w:after="0"/>
              <w:rPr>
                <w:color w:val="C00000"/>
                <w:szCs w:val="22"/>
              </w:rPr>
            </w:pPr>
            <w:r w:rsidRPr="00181D10">
              <w:rPr>
                <w:color w:val="C00000"/>
                <w:szCs w:val="22"/>
              </w:rPr>
              <w:t> </w:t>
            </w:r>
          </w:p>
        </w:tc>
        <w:tc>
          <w:tcPr>
            <w:tcW w:w="123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75D05F0" w14:textId="77777777" w:rsidR="00724F0A" w:rsidRPr="00181D10" w:rsidRDefault="00724F0A" w:rsidP="00181D10">
            <w:pPr>
              <w:spacing w:after="0"/>
              <w:rPr>
                <w:color w:val="C00000"/>
                <w:szCs w:val="22"/>
              </w:rPr>
            </w:pPr>
            <w:r w:rsidRPr="00181D10">
              <w:rPr>
                <w:color w:val="C00000"/>
                <w:szCs w:val="22"/>
              </w:rPr>
              <w:t> </w:t>
            </w:r>
          </w:p>
        </w:tc>
        <w:tc>
          <w:tcPr>
            <w:tcW w:w="145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6B98C26" w14:textId="77777777" w:rsidR="00724F0A" w:rsidRPr="00181D10" w:rsidRDefault="00724F0A" w:rsidP="00181D10">
            <w:pPr>
              <w:spacing w:after="0"/>
              <w:jc w:val="right"/>
              <w:rPr>
                <w:color w:val="C00000"/>
                <w:szCs w:val="22"/>
              </w:rPr>
            </w:pPr>
            <w:r w:rsidRPr="00181D10">
              <w:rPr>
                <w:color w:val="C00000"/>
                <w:szCs w:val="22"/>
              </w:rPr>
              <w:t>-49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25DFA" w14:textId="77777777" w:rsidR="00724F0A" w:rsidRPr="00181D10" w:rsidRDefault="00724F0A" w:rsidP="00181D10">
            <w:pPr>
              <w:spacing w:after="0"/>
              <w:rPr>
                <w:color w:val="C00000"/>
                <w:szCs w:val="22"/>
              </w:rPr>
            </w:pPr>
          </w:p>
        </w:tc>
      </w:tr>
      <w:tr w:rsidR="00724F0A" w:rsidRPr="00181D10" w14:paraId="730FCD52" w14:textId="77777777" w:rsidTr="00214A8F">
        <w:trPr>
          <w:trHeight w:val="280"/>
        </w:trPr>
        <w:tc>
          <w:tcPr>
            <w:tcW w:w="3700" w:type="dxa"/>
            <w:gridSpan w:val="2"/>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B1C6287" w14:textId="77777777" w:rsidR="00724F0A" w:rsidRPr="00181D10" w:rsidRDefault="00724F0A" w:rsidP="00181D10">
            <w:pPr>
              <w:spacing w:after="0"/>
              <w:rPr>
                <w:b/>
                <w:bCs/>
                <w:color w:val="C00000"/>
                <w:szCs w:val="22"/>
              </w:rPr>
            </w:pPr>
            <w:r w:rsidRPr="00181D10">
              <w:rPr>
                <w:b/>
                <w:bCs/>
                <w:color w:val="C00000"/>
                <w:szCs w:val="22"/>
              </w:rPr>
              <w:t>Income attributed to UPE</w:t>
            </w:r>
          </w:p>
        </w:tc>
        <w:tc>
          <w:tcPr>
            <w:tcW w:w="123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AFCBFAB" w14:textId="77777777" w:rsidR="00724F0A" w:rsidRPr="00181D10" w:rsidRDefault="00724F0A" w:rsidP="00181D10">
            <w:pPr>
              <w:spacing w:after="0"/>
              <w:rPr>
                <w:b/>
                <w:bCs/>
                <w:color w:val="C00000"/>
                <w:szCs w:val="22"/>
              </w:rPr>
            </w:pPr>
            <w:r w:rsidRPr="00181D10">
              <w:rPr>
                <w:b/>
                <w:bCs/>
                <w:color w:val="C00000"/>
                <w:szCs w:val="22"/>
              </w:rPr>
              <w:t> </w:t>
            </w:r>
          </w:p>
        </w:tc>
        <w:tc>
          <w:tcPr>
            <w:tcW w:w="1451"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D51C8E2" w14:textId="77777777" w:rsidR="00724F0A" w:rsidRPr="00181D10" w:rsidRDefault="00724F0A" w:rsidP="00181D10">
            <w:pPr>
              <w:spacing w:after="0"/>
              <w:jc w:val="right"/>
              <w:rPr>
                <w:b/>
                <w:bCs/>
                <w:color w:val="C00000"/>
                <w:szCs w:val="22"/>
              </w:rPr>
            </w:pPr>
            <w:r w:rsidRPr="00181D10">
              <w:rPr>
                <w:b/>
                <w:bCs/>
                <w:color w:val="C00000"/>
                <w:szCs w:val="22"/>
              </w:rPr>
              <w:t>1051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43DB4" w14:textId="77777777" w:rsidR="00724F0A" w:rsidRPr="00181D10" w:rsidRDefault="00724F0A" w:rsidP="00181D10">
            <w:pPr>
              <w:spacing w:after="0"/>
              <w:jc w:val="center"/>
              <w:rPr>
                <w:b/>
                <w:bCs/>
                <w:color w:val="C00000"/>
                <w:szCs w:val="22"/>
              </w:rPr>
            </w:pPr>
            <w:r w:rsidRPr="00181D10">
              <w:rPr>
                <w:b/>
                <w:bCs/>
                <w:color w:val="C00000"/>
                <w:szCs w:val="22"/>
              </w:rPr>
              <w:t>Y</w:t>
            </w:r>
          </w:p>
        </w:tc>
      </w:tr>
    </w:tbl>
    <w:p w14:paraId="7CCE06FE" w14:textId="77777777" w:rsidR="00724F0A" w:rsidRPr="00181D10" w:rsidRDefault="00724F0A" w:rsidP="00181D10">
      <w:pPr>
        <w:spacing w:after="0"/>
        <w:ind w:left="720"/>
        <w:rPr>
          <w:b/>
          <w:bCs/>
          <w:szCs w:val="22"/>
        </w:rPr>
      </w:pPr>
    </w:p>
    <w:p w14:paraId="0738CB5C" w14:textId="448A68DE" w:rsidR="0078542B" w:rsidRPr="00181D10" w:rsidRDefault="00BF356C" w:rsidP="00181D10">
      <w:pPr>
        <w:spacing w:after="0"/>
        <w:ind w:left="720"/>
        <w:rPr>
          <w:szCs w:val="22"/>
        </w:rPr>
      </w:pPr>
      <w:r w:rsidRPr="00181D10">
        <w:rPr>
          <w:szCs w:val="22"/>
        </w:rPr>
        <w:t>R</w:t>
      </w:r>
      <w:r w:rsidR="0078542B" w:rsidRPr="00181D10">
        <w:rPr>
          <w:szCs w:val="22"/>
        </w:rPr>
        <w:t>ecommend</w:t>
      </w:r>
      <w:r w:rsidRPr="00181D10">
        <w:rPr>
          <w:szCs w:val="22"/>
        </w:rPr>
        <w:t>ation:</w:t>
      </w:r>
    </w:p>
    <w:p w14:paraId="3D19A1ED" w14:textId="2A84851C" w:rsidR="00C23402" w:rsidRPr="00181D10" w:rsidRDefault="0078542B" w:rsidP="00181D10">
      <w:pPr>
        <w:spacing w:after="0"/>
        <w:ind w:left="720"/>
        <w:rPr>
          <w:szCs w:val="22"/>
        </w:rPr>
      </w:pPr>
      <w:r w:rsidRPr="00181D10">
        <w:rPr>
          <w:color w:val="000000" w:themeColor="text1"/>
          <w:szCs w:val="22"/>
        </w:rPr>
        <w:t xml:space="preserve">The Amount A Tax Base Determination should provide for an adjustment mechanism for cases where a Covered Group has a controlling interest but less than full (100%) ownership in one or more Group Entities. The adjustment mechanism should reflect economic reality that not </w:t>
      </w:r>
      <w:r w:rsidR="006561F0" w:rsidRPr="00181D10">
        <w:rPr>
          <w:color w:val="000000" w:themeColor="text1"/>
          <w:szCs w:val="22"/>
        </w:rPr>
        <w:t>all</w:t>
      </w:r>
      <w:r w:rsidRPr="00181D10">
        <w:rPr>
          <w:color w:val="000000" w:themeColor="text1"/>
          <w:szCs w:val="22"/>
        </w:rPr>
        <w:t xml:space="preserve"> the revenue and profit (or loss) belongs to the Covered Group.</w:t>
      </w:r>
    </w:p>
    <w:p w14:paraId="188330A0" w14:textId="77777777" w:rsidR="00C23402" w:rsidRPr="00181D10" w:rsidRDefault="00C23402" w:rsidP="00181D10">
      <w:pPr>
        <w:spacing w:after="0"/>
        <w:rPr>
          <w:szCs w:val="22"/>
        </w:rPr>
      </w:pPr>
    </w:p>
    <w:p w14:paraId="487A2155" w14:textId="76BD00EF" w:rsidR="00C23402" w:rsidRPr="00181D10" w:rsidRDefault="00C23402" w:rsidP="00181D10">
      <w:pPr>
        <w:spacing w:after="0"/>
        <w:contextualSpacing/>
        <w:rPr>
          <w:rFonts w:cs="Arial"/>
          <w:b/>
          <w:bCs/>
          <w:color w:val="0070C0"/>
          <w:szCs w:val="22"/>
          <w:u w:val="single"/>
        </w:rPr>
      </w:pPr>
      <w:r w:rsidRPr="00181D10">
        <w:rPr>
          <w:rFonts w:cs="Arial"/>
          <w:b/>
          <w:color w:val="0070C0"/>
          <w:szCs w:val="22"/>
          <w:u w:val="single"/>
        </w:rPr>
        <w:t>Specific comments</w:t>
      </w:r>
      <w:r w:rsidRPr="00181D10">
        <w:rPr>
          <w:rFonts w:cs="Arial"/>
          <w:b/>
          <w:bCs/>
          <w:color w:val="0070C0"/>
          <w:szCs w:val="22"/>
          <w:u w:val="single"/>
        </w:rPr>
        <w:t>:</w:t>
      </w:r>
    </w:p>
    <w:p w14:paraId="4BD9BC7F" w14:textId="0DA417A1" w:rsidR="00C23402" w:rsidRPr="00181D10" w:rsidRDefault="00C23402" w:rsidP="00181D10">
      <w:pPr>
        <w:spacing w:after="0"/>
        <w:contextualSpacing/>
        <w:rPr>
          <w:rFonts w:cs="Arial"/>
          <w:b/>
          <w:bCs/>
          <w:color w:val="0070C0"/>
          <w:szCs w:val="22"/>
          <w:u w:val="single"/>
        </w:rPr>
      </w:pPr>
    </w:p>
    <w:p w14:paraId="496EDE04" w14:textId="06C3BABB" w:rsidR="001144EA" w:rsidRDefault="0066492B" w:rsidP="00181D10">
      <w:pPr>
        <w:pStyle w:val="Liststycke"/>
        <w:numPr>
          <w:ilvl w:val="0"/>
          <w:numId w:val="5"/>
        </w:numPr>
        <w:spacing w:after="0"/>
        <w:rPr>
          <w:rFonts w:eastAsia="Calibri" w:cs="Calibri"/>
          <w:szCs w:val="22"/>
        </w:rPr>
      </w:pPr>
      <w:r w:rsidRPr="00181D10">
        <w:rPr>
          <w:szCs w:val="22"/>
        </w:rPr>
        <w:t>Title 9, Footnote 12 (page 8)</w:t>
      </w:r>
      <w:r w:rsidR="001144EA" w:rsidRPr="00181D10">
        <w:rPr>
          <w:szCs w:val="22"/>
        </w:rPr>
        <w:t xml:space="preserve"> </w:t>
      </w:r>
      <w:r w:rsidR="001144EA" w:rsidRPr="00181D10">
        <w:rPr>
          <w:rFonts w:eastAsia="Calibri" w:cs="Calibri"/>
          <w:szCs w:val="22"/>
        </w:rPr>
        <w:t>Art. 5 (2) (a) iii sets out that, for the purpose of book-to tax adjustments, some specified items of income will be reversed</w:t>
      </w:r>
      <w:r w:rsidR="00EB49C5" w:rsidRPr="00181D10">
        <w:rPr>
          <w:rFonts w:eastAsia="Calibri" w:cs="Calibri"/>
          <w:szCs w:val="22"/>
        </w:rPr>
        <w:t>,</w:t>
      </w:r>
      <w:r w:rsidR="001144EA" w:rsidRPr="00181D10">
        <w:rPr>
          <w:rFonts w:eastAsia="Calibri" w:cs="Calibri"/>
          <w:szCs w:val="22"/>
        </w:rPr>
        <w:t xml:space="preserve"> includ</w:t>
      </w:r>
      <w:r w:rsidR="00EB49C5" w:rsidRPr="00181D10">
        <w:rPr>
          <w:rFonts w:eastAsia="Calibri" w:cs="Calibri"/>
          <w:szCs w:val="22"/>
        </w:rPr>
        <w:t>ing</w:t>
      </w:r>
      <w:r w:rsidR="001144EA" w:rsidRPr="00181D10">
        <w:rPr>
          <w:rFonts w:eastAsia="Calibri" w:cs="Calibri"/>
          <w:szCs w:val="22"/>
        </w:rPr>
        <w:t xml:space="preserve"> equity gains (or loss).  Title 9 contains various definitions, including the definition of equity gains (or loss</w:t>
      </w:r>
      <w:r w:rsidR="00A62074" w:rsidRPr="00181D10">
        <w:rPr>
          <w:rFonts w:eastAsia="Calibri" w:cs="Calibri"/>
          <w:szCs w:val="22"/>
        </w:rPr>
        <w:t>es</w:t>
      </w:r>
      <w:r w:rsidR="001144EA" w:rsidRPr="00181D10">
        <w:rPr>
          <w:rFonts w:eastAsia="Calibri" w:cs="Calibri"/>
          <w:szCs w:val="22"/>
        </w:rPr>
        <w:t xml:space="preserve">). Footnote 12 clarifies that under the current draft rules gains and losses associated with disposal of asset interests are included in the Tax Base, whereas gains and losses associated with disposal of equity interests are </w:t>
      </w:r>
      <w:r w:rsidR="001144EA" w:rsidRPr="00181D10">
        <w:rPr>
          <w:rFonts w:eastAsia="Calibri" w:cs="Calibri"/>
          <w:szCs w:val="22"/>
          <w:u w:val="single"/>
        </w:rPr>
        <w:t>not</w:t>
      </w:r>
      <w:r w:rsidR="001144EA" w:rsidRPr="00181D10">
        <w:rPr>
          <w:rFonts w:eastAsia="Calibri" w:cs="Calibri"/>
          <w:szCs w:val="22"/>
        </w:rPr>
        <w:t>.</w:t>
      </w:r>
    </w:p>
    <w:p w14:paraId="7CA108B6" w14:textId="77777777" w:rsidR="007C3AB3" w:rsidRPr="00181D10" w:rsidRDefault="007C3AB3" w:rsidP="007C3AB3">
      <w:pPr>
        <w:pStyle w:val="Liststycke"/>
        <w:spacing w:after="0"/>
        <w:ind w:left="360"/>
        <w:rPr>
          <w:rFonts w:eastAsia="Calibri" w:cs="Calibri"/>
          <w:szCs w:val="22"/>
        </w:rPr>
      </w:pPr>
    </w:p>
    <w:p w14:paraId="24CD2F5C" w14:textId="493F6108" w:rsidR="00D81974" w:rsidRPr="00181D10" w:rsidRDefault="00B80491" w:rsidP="00181D10">
      <w:pPr>
        <w:spacing w:after="0"/>
        <w:ind w:left="360"/>
        <w:rPr>
          <w:rFonts w:eastAsia="Calibri" w:cs="Calibri"/>
          <w:szCs w:val="22"/>
        </w:rPr>
      </w:pPr>
      <w:r w:rsidRPr="00181D10">
        <w:rPr>
          <w:rFonts w:eastAsia="Calibri" w:cs="Calibri"/>
          <w:szCs w:val="22"/>
        </w:rPr>
        <w:t xml:space="preserve">ICC </w:t>
      </w:r>
      <w:r w:rsidR="00286A25" w:rsidRPr="00181D10">
        <w:rPr>
          <w:rFonts w:eastAsia="Calibri" w:cs="Calibri"/>
          <w:szCs w:val="22"/>
        </w:rPr>
        <w:t>members put forward a</w:t>
      </w:r>
      <w:r w:rsidR="004F262F" w:rsidRPr="00181D10">
        <w:rPr>
          <w:rFonts w:eastAsia="Calibri" w:cs="Calibri"/>
          <w:szCs w:val="22"/>
        </w:rPr>
        <w:t xml:space="preserve"> few observations </w:t>
      </w:r>
      <w:r w:rsidR="004C56E1" w:rsidRPr="00181D10">
        <w:rPr>
          <w:rFonts w:eastAsia="Calibri" w:cs="Calibri"/>
          <w:szCs w:val="22"/>
        </w:rPr>
        <w:t xml:space="preserve">in </w:t>
      </w:r>
      <w:r w:rsidR="0027586B" w:rsidRPr="00181D10">
        <w:rPr>
          <w:rFonts w:eastAsia="Calibri" w:cs="Calibri"/>
          <w:szCs w:val="22"/>
        </w:rPr>
        <w:t>this regard:</w:t>
      </w:r>
    </w:p>
    <w:p w14:paraId="1474A799" w14:textId="2AA9C6EE" w:rsidR="001144EA" w:rsidRPr="00181D10" w:rsidRDefault="001144EA" w:rsidP="00181D10">
      <w:pPr>
        <w:pStyle w:val="Liststycke"/>
        <w:numPr>
          <w:ilvl w:val="0"/>
          <w:numId w:val="6"/>
        </w:numPr>
        <w:spacing w:after="0"/>
        <w:rPr>
          <w:rFonts w:eastAsia="Calibri" w:cs="Calibri"/>
          <w:szCs w:val="22"/>
        </w:rPr>
      </w:pPr>
      <w:r w:rsidRPr="00181D10">
        <w:rPr>
          <w:rFonts w:eastAsia="Calibri" w:cs="Calibri"/>
          <w:szCs w:val="22"/>
        </w:rPr>
        <w:t>There</w:t>
      </w:r>
      <w:r w:rsidR="00286A25" w:rsidRPr="00181D10">
        <w:rPr>
          <w:rFonts w:eastAsia="Calibri" w:cs="Calibri"/>
          <w:szCs w:val="22"/>
        </w:rPr>
        <w:t xml:space="preserve"> is</w:t>
      </w:r>
      <w:r w:rsidRPr="00181D10">
        <w:rPr>
          <w:rFonts w:eastAsia="Calibri" w:cs="Calibri"/>
          <w:szCs w:val="22"/>
        </w:rPr>
        <w:t xml:space="preserve"> no further background </w:t>
      </w:r>
      <w:r w:rsidR="00CA68E1" w:rsidRPr="00181D10">
        <w:rPr>
          <w:rFonts w:eastAsia="Calibri" w:cs="Calibri"/>
          <w:szCs w:val="22"/>
        </w:rPr>
        <w:t xml:space="preserve">information </w:t>
      </w:r>
      <w:r w:rsidRPr="00181D10">
        <w:rPr>
          <w:rFonts w:eastAsia="Calibri" w:cs="Calibri"/>
          <w:szCs w:val="22"/>
        </w:rPr>
        <w:t xml:space="preserve">as to </w:t>
      </w:r>
      <w:r w:rsidRPr="00181D10">
        <w:rPr>
          <w:rFonts w:eastAsia="Calibri" w:cs="Calibri"/>
          <w:szCs w:val="22"/>
          <w:u w:val="single"/>
        </w:rPr>
        <w:t>why</w:t>
      </w:r>
      <w:r w:rsidRPr="00181D10">
        <w:rPr>
          <w:rFonts w:eastAsia="Calibri" w:cs="Calibri"/>
          <w:szCs w:val="22"/>
        </w:rPr>
        <w:t xml:space="preserve"> an </w:t>
      </w:r>
      <w:r w:rsidR="00205B3D" w:rsidRPr="00181D10">
        <w:rPr>
          <w:rFonts w:eastAsia="Calibri" w:cs="Calibri"/>
          <w:szCs w:val="22"/>
        </w:rPr>
        <w:t>equity transaction</w:t>
      </w:r>
      <w:r w:rsidRPr="00181D10">
        <w:rPr>
          <w:rFonts w:eastAsia="Calibri" w:cs="Calibri"/>
          <w:szCs w:val="22"/>
        </w:rPr>
        <w:t xml:space="preserve"> is handled differently compared to an asset deal.</w:t>
      </w:r>
    </w:p>
    <w:p w14:paraId="5A4E5DD1" w14:textId="1DDF4CAF" w:rsidR="001144EA" w:rsidRDefault="001144EA" w:rsidP="00181D10">
      <w:pPr>
        <w:pStyle w:val="Liststycke"/>
        <w:numPr>
          <w:ilvl w:val="0"/>
          <w:numId w:val="6"/>
        </w:numPr>
        <w:spacing w:after="0"/>
        <w:rPr>
          <w:rFonts w:eastAsia="Calibri" w:cs="Calibri"/>
          <w:szCs w:val="22"/>
        </w:rPr>
      </w:pPr>
      <w:r w:rsidRPr="00181D10">
        <w:rPr>
          <w:rFonts w:eastAsia="Calibri" w:cs="Calibri"/>
          <w:szCs w:val="22"/>
        </w:rPr>
        <w:t xml:space="preserve">Many business transfers take the form of asset deals rather than share transactions for a variety of reasons, including the common situation where a particular business division does not comprise a separate holding company and subsidiaries, but shares its corporate structure with other divisions either </w:t>
      </w:r>
      <w:r w:rsidR="0009061E" w:rsidRPr="00181D10">
        <w:rPr>
          <w:rFonts w:eastAsia="Calibri" w:cs="Calibri"/>
          <w:szCs w:val="22"/>
        </w:rPr>
        <w:t xml:space="preserve">entirely </w:t>
      </w:r>
      <w:r w:rsidRPr="00181D10">
        <w:rPr>
          <w:rFonts w:eastAsia="Calibri" w:cs="Calibri"/>
          <w:szCs w:val="22"/>
        </w:rPr>
        <w:t>or in part</w:t>
      </w:r>
      <w:r w:rsidR="00951F59" w:rsidRPr="00181D10">
        <w:rPr>
          <w:rFonts w:eastAsia="Calibri" w:cs="Calibri"/>
          <w:szCs w:val="22"/>
        </w:rPr>
        <w:t>,</w:t>
      </w:r>
      <w:r w:rsidRPr="00181D10">
        <w:rPr>
          <w:rFonts w:eastAsia="Calibri" w:cs="Calibri"/>
          <w:szCs w:val="22"/>
        </w:rPr>
        <w:t xml:space="preserve"> or situations where there may be contingent liabilities attaching to the historical corporate entities, which a purchaser would not wish to assume.</w:t>
      </w:r>
    </w:p>
    <w:p w14:paraId="080B6FDF" w14:textId="77777777" w:rsidR="00723C70" w:rsidRPr="00181D10" w:rsidRDefault="00723C70" w:rsidP="00723C70">
      <w:pPr>
        <w:pStyle w:val="Liststycke"/>
        <w:spacing w:after="0"/>
        <w:rPr>
          <w:rFonts w:eastAsia="Calibri" w:cs="Calibri"/>
          <w:szCs w:val="22"/>
        </w:rPr>
      </w:pPr>
    </w:p>
    <w:p w14:paraId="58D424FE" w14:textId="2BC60C06" w:rsidR="00193DB7" w:rsidRPr="00181D10" w:rsidRDefault="001144EA" w:rsidP="00181D10">
      <w:pPr>
        <w:pStyle w:val="Fotnotstext"/>
        <w:ind w:left="360"/>
        <w:rPr>
          <w:rFonts w:ascii="Gotham Book" w:hAnsi="Gotham Book"/>
          <w:sz w:val="22"/>
          <w:szCs w:val="22"/>
        </w:rPr>
      </w:pPr>
      <w:r w:rsidRPr="00181D10">
        <w:rPr>
          <w:rFonts w:ascii="Gotham Book" w:eastAsia="Calibri" w:hAnsi="Gotham Book" w:cs="Calibri"/>
          <w:sz w:val="22"/>
          <w:szCs w:val="22"/>
          <w:u w:val="single"/>
        </w:rPr>
        <w:t>Therefore</w:t>
      </w:r>
      <w:r w:rsidRPr="00181D10">
        <w:rPr>
          <w:rFonts w:ascii="Gotham Book" w:eastAsia="Calibri" w:hAnsi="Gotham Book" w:cs="Calibri"/>
          <w:sz w:val="22"/>
          <w:szCs w:val="22"/>
        </w:rPr>
        <w:t>, from a business perspective, there seems no good reason to treat an equity transaction and an asset deal differently for Amount A/ tax purposes.</w:t>
      </w:r>
      <w:r w:rsidR="00193DB7" w:rsidRPr="00181D10" w:rsidDel="00193DB7">
        <w:rPr>
          <w:rStyle w:val="Fotnotsreferens"/>
          <w:rFonts w:ascii="Gotham Book" w:eastAsia="Calibri" w:hAnsi="Gotham Book" w:cs="Calibri"/>
          <w:sz w:val="22"/>
          <w:szCs w:val="22"/>
        </w:rPr>
        <w:t xml:space="preserve"> </w:t>
      </w:r>
      <w:r w:rsidR="00193DB7" w:rsidRPr="00181D10">
        <w:rPr>
          <w:rFonts w:ascii="Gotham Book" w:eastAsia="Calibri" w:hAnsi="Gotham Book" w:cs="Calibri"/>
          <w:sz w:val="22"/>
          <w:szCs w:val="22"/>
        </w:rPr>
        <w:t xml:space="preserve"> </w:t>
      </w:r>
      <w:r w:rsidR="00193DB7" w:rsidRPr="00181D10">
        <w:rPr>
          <w:rFonts w:ascii="Gotham Book" w:hAnsi="Gotham Book"/>
          <w:sz w:val="22"/>
          <w:szCs w:val="22"/>
        </w:rPr>
        <w:t>Nonetheless, the 4 October Amount A draft rules for Nexus and Revenue Sourcing already specify “returns from and gains on the disposition of assets” as an element of Non-customer Revenues (Part 9 (para 62) –page 34)</w:t>
      </w:r>
      <w:r w:rsidR="00F4481E" w:rsidRPr="00181D10">
        <w:rPr>
          <w:rFonts w:ascii="Gotham Book" w:hAnsi="Gotham Book"/>
          <w:sz w:val="22"/>
          <w:szCs w:val="22"/>
        </w:rPr>
        <w:t>. In addition, f</w:t>
      </w:r>
      <w:r w:rsidR="00193DB7" w:rsidRPr="00181D10">
        <w:rPr>
          <w:rFonts w:ascii="Gotham Book" w:hAnsi="Gotham Book"/>
          <w:sz w:val="22"/>
          <w:szCs w:val="22"/>
        </w:rPr>
        <w:t xml:space="preserve">rom the outset, it seems relatively simple to present any disposition of (intangible or tangible) assets as a disposition of an ownership interest – just by setting up/ using a shell Company. It might be quite difficult to sufficiently delineate cases, particularly in the absence of </w:t>
      </w:r>
      <w:r w:rsidR="00193DB7" w:rsidRPr="00181D10">
        <w:rPr>
          <w:rFonts w:ascii="Gotham Book" w:hAnsi="Gotham Book"/>
          <w:sz w:val="22"/>
          <w:szCs w:val="22"/>
          <w:u w:val="single"/>
        </w:rPr>
        <w:t>any core principle</w:t>
      </w:r>
      <w:r w:rsidR="00193DB7" w:rsidRPr="00181D10">
        <w:rPr>
          <w:rFonts w:ascii="Gotham Book" w:hAnsi="Gotham Book"/>
          <w:sz w:val="22"/>
          <w:szCs w:val="22"/>
        </w:rPr>
        <w:t xml:space="preserve"> underpinning the policy approach.</w:t>
      </w:r>
    </w:p>
    <w:p w14:paraId="72457071" w14:textId="5D9C0B99" w:rsidR="0066492B" w:rsidRPr="00181D10" w:rsidRDefault="0066492B" w:rsidP="00181D10">
      <w:pPr>
        <w:spacing w:after="0"/>
        <w:rPr>
          <w:rFonts w:eastAsia="Calibri" w:cs="Calibri"/>
          <w:b/>
          <w:szCs w:val="22"/>
        </w:rPr>
      </w:pPr>
    </w:p>
    <w:p w14:paraId="59F7633C" w14:textId="7D338F17" w:rsidR="00E35449" w:rsidRPr="00181D10" w:rsidRDefault="00510A90" w:rsidP="00181D10">
      <w:pPr>
        <w:spacing w:after="0"/>
        <w:ind w:left="360"/>
        <w:rPr>
          <w:rFonts w:eastAsia="Calibri" w:cs="Calibri"/>
          <w:szCs w:val="22"/>
        </w:rPr>
      </w:pPr>
      <w:r w:rsidRPr="00181D10">
        <w:rPr>
          <w:rFonts w:eastAsia="Calibri" w:cs="Calibri"/>
          <w:szCs w:val="22"/>
        </w:rPr>
        <w:t xml:space="preserve">ICC members </w:t>
      </w:r>
      <w:r w:rsidR="00455556" w:rsidRPr="00181D10">
        <w:rPr>
          <w:rFonts w:eastAsia="Calibri" w:cs="Calibri"/>
          <w:szCs w:val="22"/>
        </w:rPr>
        <w:t>sugges</w:t>
      </w:r>
      <w:r w:rsidR="00A366F7" w:rsidRPr="00181D10">
        <w:rPr>
          <w:rFonts w:eastAsia="Calibri" w:cs="Calibri"/>
          <w:szCs w:val="22"/>
        </w:rPr>
        <w:t>t</w:t>
      </w:r>
      <w:r w:rsidR="00455556" w:rsidRPr="00181D10">
        <w:rPr>
          <w:rFonts w:eastAsia="Calibri" w:cs="Calibri"/>
          <w:szCs w:val="22"/>
        </w:rPr>
        <w:t xml:space="preserve"> </w:t>
      </w:r>
      <w:r w:rsidR="00F019C2" w:rsidRPr="00181D10">
        <w:rPr>
          <w:color w:val="000000" w:themeColor="text1"/>
          <w:szCs w:val="22"/>
        </w:rPr>
        <w:t>treat</w:t>
      </w:r>
      <w:r w:rsidR="00A366F7" w:rsidRPr="00181D10">
        <w:rPr>
          <w:color w:val="000000" w:themeColor="text1"/>
          <w:szCs w:val="22"/>
        </w:rPr>
        <w:t>ing</w:t>
      </w:r>
      <w:r w:rsidR="00F019C2" w:rsidRPr="00181D10">
        <w:rPr>
          <w:color w:val="000000" w:themeColor="text1"/>
          <w:szCs w:val="22"/>
        </w:rPr>
        <w:t xml:space="preserve"> a disposal of asset interests no different from</w:t>
      </w:r>
      <w:r w:rsidR="00F019C2" w:rsidRPr="00181D10">
        <w:rPr>
          <w:b/>
          <w:color w:val="000000" w:themeColor="text1"/>
          <w:szCs w:val="22"/>
        </w:rPr>
        <w:t xml:space="preserve"> </w:t>
      </w:r>
      <w:r w:rsidR="00F019C2" w:rsidRPr="00181D10">
        <w:rPr>
          <w:rFonts w:eastAsia="Calibri" w:cs="Calibri"/>
          <w:szCs w:val="22"/>
        </w:rPr>
        <w:t xml:space="preserve">a disposal of equity interests </w:t>
      </w:r>
      <w:r w:rsidR="00F019C2" w:rsidRPr="00181D10">
        <w:rPr>
          <w:color w:val="000000" w:themeColor="text1"/>
          <w:szCs w:val="22"/>
        </w:rPr>
        <w:t>for Amount A/ tax purposes</w:t>
      </w:r>
      <w:r w:rsidR="004F1319" w:rsidRPr="00181D10">
        <w:rPr>
          <w:color w:val="000000" w:themeColor="text1"/>
          <w:szCs w:val="22"/>
        </w:rPr>
        <w:t>.</w:t>
      </w:r>
      <w:r w:rsidR="004F1319" w:rsidRPr="00181D10">
        <w:rPr>
          <w:rFonts w:eastAsia="Calibri" w:cs="Calibri"/>
          <w:szCs w:val="22"/>
        </w:rPr>
        <w:t xml:space="preserve"> </w:t>
      </w:r>
      <w:r w:rsidR="00E35449" w:rsidRPr="00181D10">
        <w:rPr>
          <w:rFonts w:eastAsia="Calibri" w:cs="Calibri"/>
          <w:szCs w:val="22"/>
        </w:rPr>
        <w:t xml:space="preserve">Any difference in treatment should be based on a </w:t>
      </w:r>
      <w:r w:rsidR="00E35449" w:rsidRPr="00181D10">
        <w:rPr>
          <w:color w:val="000000" w:themeColor="text1"/>
          <w:szCs w:val="22"/>
          <w:u w:val="single"/>
        </w:rPr>
        <w:t>core principle</w:t>
      </w:r>
      <w:r w:rsidR="00E35449" w:rsidRPr="00181D10">
        <w:rPr>
          <w:b/>
          <w:color w:val="000000" w:themeColor="text1"/>
          <w:szCs w:val="22"/>
        </w:rPr>
        <w:t xml:space="preserve"> </w:t>
      </w:r>
      <w:r w:rsidR="00E35449" w:rsidRPr="00181D10">
        <w:rPr>
          <w:color w:val="000000" w:themeColor="text1"/>
          <w:szCs w:val="22"/>
        </w:rPr>
        <w:t>underpinning the policy approach.</w:t>
      </w:r>
    </w:p>
    <w:p w14:paraId="6B2B2C0A" w14:textId="77777777" w:rsidR="0066492B" w:rsidRPr="00181D10" w:rsidRDefault="0066492B" w:rsidP="00181D10">
      <w:pPr>
        <w:spacing w:after="0"/>
        <w:contextualSpacing/>
        <w:rPr>
          <w:rFonts w:cs="Arial"/>
          <w:b/>
          <w:bCs/>
          <w:color w:val="0070C0"/>
          <w:szCs w:val="22"/>
          <w:u w:val="single"/>
        </w:rPr>
      </w:pPr>
    </w:p>
    <w:p w14:paraId="442F1166" w14:textId="4022A091" w:rsidR="00EC6EBB" w:rsidRPr="00181D10" w:rsidRDefault="00FB7B08" w:rsidP="00181D10">
      <w:pPr>
        <w:pStyle w:val="Liststycke"/>
        <w:numPr>
          <w:ilvl w:val="0"/>
          <w:numId w:val="5"/>
        </w:numPr>
        <w:spacing w:after="0"/>
        <w:rPr>
          <w:color w:val="000000" w:themeColor="text1"/>
          <w:szCs w:val="22"/>
        </w:rPr>
      </w:pPr>
      <w:r w:rsidRPr="00181D10">
        <w:rPr>
          <w:color w:val="000000" w:themeColor="text1"/>
          <w:szCs w:val="22"/>
        </w:rPr>
        <w:t xml:space="preserve">Title 9 (page 8) </w:t>
      </w:r>
      <w:r w:rsidR="00361BC8" w:rsidRPr="00181D10">
        <w:rPr>
          <w:color w:val="000000" w:themeColor="text1"/>
          <w:szCs w:val="22"/>
        </w:rPr>
        <w:t>provides the d</w:t>
      </w:r>
      <w:r w:rsidRPr="00181D10">
        <w:rPr>
          <w:color w:val="000000" w:themeColor="text1"/>
          <w:szCs w:val="22"/>
        </w:rPr>
        <w:t>efinition of “Policy Disallowed Expenses”</w:t>
      </w:r>
      <w:r w:rsidR="00ED24C0" w:rsidRPr="00181D10">
        <w:rPr>
          <w:color w:val="000000" w:themeColor="text1"/>
          <w:szCs w:val="22"/>
        </w:rPr>
        <w:t xml:space="preserve">. </w:t>
      </w:r>
      <w:r w:rsidR="00EC6EBB" w:rsidRPr="00181D10">
        <w:rPr>
          <w:szCs w:val="22"/>
        </w:rPr>
        <w:t xml:space="preserve">The current definition is wider than the </w:t>
      </w:r>
      <w:r w:rsidR="00ED24C0" w:rsidRPr="00181D10">
        <w:rPr>
          <w:szCs w:val="22"/>
        </w:rPr>
        <w:t xml:space="preserve">one </w:t>
      </w:r>
      <w:r w:rsidR="00EC6EBB" w:rsidRPr="00181D10">
        <w:rPr>
          <w:szCs w:val="22"/>
        </w:rPr>
        <w:t xml:space="preserve">under Pillar Two (including the threshold). Furthermore, the scope of fines or penalties should be limited </w:t>
      </w:r>
      <w:r w:rsidR="00A96368" w:rsidRPr="00181D10">
        <w:rPr>
          <w:szCs w:val="22"/>
        </w:rPr>
        <w:t xml:space="preserve">to </w:t>
      </w:r>
      <w:r w:rsidR="00EC6EBB" w:rsidRPr="00181D10">
        <w:rPr>
          <w:szCs w:val="22"/>
        </w:rPr>
        <w:t xml:space="preserve">those fines or penalties </w:t>
      </w:r>
      <w:r w:rsidR="00EC6EBB" w:rsidRPr="00181D10">
        <w:rPr>
          <w:b/>
          <w:szCs w:val="22"/>
        </w:rPr>
        <w:t>imposed by a government</w:t>
      </w:r>
      <w:r w:rsidR="00EC6EBB" w:rsidRPr="00181D10">
        <w:rPr>
          <w:szCs w:val="22"/>
        </w:rPr>
        <w:t>, to also rule out that</w:t>
      </w:r>
      <w:r w:rsidR="00EC6EBB" w:rsidRPr="00181D10">
        <w:rPr>
          <w:b/>
          <w:szCs w:val="22"/>
        </w:rPr>
        <w:t xml:space="preserve"> </w:t>
      </w:r>
      <w:r w:rsidR="00EC6EBB" w:rsidRPr="00181D10">
        <w:rPr>
          <w:szCs w:val="22"/>
        </w:rPr>
        <w:t>commercial contract penalties are included.</w:t>
      </w:r>
    </w:p>
    <w:p w14:paraId="46C40E90" w14:textId="3F8225C8" w:rsidR="009D3DF7" w:rsidRPr="00181D10" w:rsidRDefault="009D3DF7" w:rsidP="00181D10">
      <w:pPr>
        <w:pStyle w:val="Liststycke"/>
        <w:spacing w:after="0"/>
        <w:ind w:left="360"/>
        <w:rPr>
          <w:b/>
          <w:bCs/>
          <w:color w:val="000000" w:themeColor="text1"/>
          <w:szCs w:val="22"/>
        </w:rPr>
      </w:pPr>
    </w:p>
    <w:p w14:paraId="09B9FDF1" w14:textId="3328F09A" w:rsidR="00C456A1" w:rsidRPr="00181D10" w:rsidRDefault="00D510D4" w:rsidP="00181D10">
      <w:pPr>
        <w:spacing w:after="0"/>
        <w:ind w:left="360"/>
        <w:rPr>
          <w:color w:val="000000" w:themeColor="text1"/>
          <w:szCs w:val="22"/>
        </w:rPr>
      </w:pPr>
      <w:r w:rsidRPr="00181D10">
        <w:rPr>
          <w:color w:val="000000" w:themeColor="text1"/>
          <w:szCs w:val="22"/>
        </w:rPr>
        <w:t>ICC</w:t>
      </w:r>
      <w:r w:rsidR="00AD3B06" w:rsidRPr="00181D10">
        <w:rPr>
          <w:color w:val="000000" w:themeColor="text1"/>
          <w:szCs w:val="22"/>
        </w:rPr>
        <w:t xml:space="preserve"> therefore</w:t>
      </w:r>
      <w:r w:rsidRPr="00181D10">
        <w:rPr>
          <w:color w:val="000000" w:themeColor="text1"/>
          <w:szCs w:val="22"/>
        </w:rPr>
        <w:t xml:space="preserve"> suggests the</w:t>
      </w:r>
      <w:r w:rsidR="00C456A1" w:rsidRPr="00181D10">
        <w:rPr>
          <w:color w:val="000000" w:themeColor="text1"/>
          <w:szCs w:val="22"/>
        </w:rPr>
        <w:t xml:space="preserve"> following wording (in </w:t>
      </w:r>
      <w:r w:rsidR="00C456A1" w:rsidRPr="00181D10">
        <w:rPr>
          <w:b/>
          <w:color w:val="000000" w:themeColor="text1"/>
          <w:szCs w:val="22"/>
        </w:rPr>
        <w:t>bold</w:t>
      </w:r>
      <w:r w:rsidR="00C456A1" w:rsidRPr="00181D10">
        <w:rPr>
          <w:color w:val="000000" w:themeColor="text1"/>
          <w:szCs w:val="22"/>
        </w:rPr>
        <w:t xml:space="preserve">) </w:t>
      </w:r>
      <w:r w:rsidRPr="00181D10">
        <w:rPr>
          <w:color w:val="000000" w:themeColor="text1"/>
          <w:szCs w:val="22"/>
        </w:rPr>
        <w:t>to</w:t>
      </w:r>
      <w:r w:rsidR="00C456A1" w:rsidRPr="00181D10">
        <w:rPr>
          <w:color w:val="000000" w:themeColor="text1"/>
          <w:szCs w:val="22"/>
        </w:rPr>
        <w:t xml:space="preserve"> be added to the definition of “Policy Disallowed Expenses”:</w:t>
      </w:r>
    </w:p>
    <w:p w14:paraId="52B79D4C" w14:textId="6EE8A400" w:rsidR="00C23402" w:rsidRPr="00181D10" w:rsidRDefault="00C456A1" w:rsidP="00181D10">
      <w:pPr>
        <w:spacing w:after="0"/>
        <w:ind w:left="360"/>
        <w:rPr>
          <w:b/>
          <w:i/>
          <w:color w:val="000000" w:themeColor="text1"/>
          <w:szCs w:val="22"/>
        </w:rPr>
      </w:pPr>
      <w:r w:rsidRPr="00181D10">
        <w:rPr>
          <w:i/>
          <w:iCs/>
          <w:color w:val="000000" w:themeColor="text1"/>
          <w:szCs w:val="22"/>
        </w:rPr>
        <w:t>“Policy Disallowed Expenses” means expenses included in calculating the Financial Accounting Profit (or Loss) of a Covered Group under a Qualifying Financial Accounting Standard for illegal payments, including bribes and kickbacks; and fines or penalties, whether or not periodic</w:t>
      </w:r>
      <w:r w:rsidRPr="00181D10">
        <w:rPr>
          <w:b/>
          <w:i/>
          <w:iCs/>
          <w:color w:val="000000" w:themeColor="text1"/>
          <w:szCs w:val="22"/>
        </w:rPr>
        <w:t>, imposed by a government.</w:t>
      </w:r>
    </w:p>
    <w:p w14:paraId="7EB87BF7" w14:textId="77777777" w:rsidR="000C73DD" w:rsidRPr="00181D10" w:rsidRDefault="000C73DD" w:rsidP="00181D10">
      <w:pPr>
        <w:spacing w:after="0"/>
        <w:ind w:left="360"/>
        <w:rPr>
          <w:i/>
          <w:iCs/>
          <w:szCs w:val="22"/>
        </w:rPr>
      </w:pPr>
    </w:p>
    <w:p w14:paraId="6033E3A1" w14:textId="59606CEA" w:rsidR="00FB7B08" w:rsidRPr="00181D10" w:rsidRDefault="00314211" w:rsidP="00181D10">
      <w:pPr>
        <w:spacing w:after="0"/>
        <w:rPr>
          <w:color w:val="000000" w:themeColor="text1"/>
          <w:szCs w:val="22"/>
        </w:rPr>
      </w:pPr>
      <w:r w:rsidRPr="00181D10">
        <w:rPr>
          <w:szCs w:val="22"/>
        </w:rPr>
        <w:t xml:space="preserve">ICC further recommends </w:t>
      </w:r>
      <w:r w:rsidR="00EC4060" w:rsidRPr="00181D10">
        <w:rPr>
          <w:szCs w:val="22"/>
        </w:rPr>
        <w:t>provid</w:t>
      </w:r>
      <w:r w:rsidR="00540D23" w:rsidRPr="00181D10">
        <w:rPr>
          <w:szCs w:val="22"/>
        </w:rPr>
        <w:t>ing</w:t>
      </w:r>
      <w:r w:rsidR="00EC4060" w:rsidRPr="00181D10">
        <w:rPr>
          <w:szCs w:val="22"/>
        </w:rPr>
        <w:t xml:space="preserve"> </w:t>
      </w:r>
      <w:r w:rsidR="004453CA" w:rsidRPr="00181D10">
        <w:rPr>
          <w:szCs w:val="22"/>
        </w:rPr>
        <w:t xml:space="preserve">additional </w:t>
      </w:r>
      <w:r w:rsidR="004453CA" w:rsidRPr="00181D10">
        <w:rPr>
          <w:color w:val="000000" w:themeColor="text1"/>
          <w:szCs w:val="22"/>
        </w:rPr>
        <w:t>clarification in the Commentary to limit the scope of Policy Disallowed Expenses and, in particular, to clarify that commercial contract fines or penalties are not in scope.</w:t>
      </w:r>
    </w:p>
    <w:p w14:paraId="39E66E1A" w14:textId="77777777" w:rsidR="00B140A8" w:rsidRPr="00181D10" w:rsidRDefault="00B140A8" w:rsidP="00181D10">
      <w:pPr>
        <w:spacing w:after="0"/>
        <w:rPr>
          <w:szCs w:val="22"/>
        </w:rPr>
      </w:pPr>
    </w:p>
    <w:p w14:paraId="40263921" w14:textId="148C3BCD" w:rsidR="00FE7234" w:rsidRDefault="00FE7234" w:rsidP="00181D10">
      <w:pPr>
        <w:pStyle w:val="Liststycke"/>
        <w:numPr>
          <w:ilvl w:val="0"/>
          <w:numId w:val="5"/>
        </w:numPr>
        <w:spacing w:after="0"/>
        <w:rPr>
          <w:color w:val="000000" w:themeColor="text1"/>
          <w:szCs w:val="22"/>
        </w:rPr>
      </w:pPr>
      <w:r w:rsidRPr="00181D10">
        <w:rPr>
          <w:color w:val="000000" w:themeColor="text1"/>
          <w:szCs w:val="22"/>
        </w:rPr>
        <w:t>Article 5(2)(b) and 9 (page 5; 7)</w:t>
      </w:r>
      <w:r w:rsidR="0023206D" w:rsidRPr="00181D10">
        <w:rPr>
          <w:color w:val="000000" w:themeColor="text1"/>
          <w:szCs w:val="22"/>
        </w:rPr>
        <w:t xml:space="preserve"> </w:t>
      </w:r>
      <w:r w:rsidR="00CA4AC8" w:rsidRPr="00181D10">
        <w:rPr>
          <w:color w:val="000000" w:themeColor="text1"/>
          <w:szCs w:val="22"/>
        </w:rPr>
        <w:t xml:space="preserve">cover </w:t>
      </w:r>
      <w:r w:rsidR="0023206D" w:rsidRPr="00181D10">
        <w:rPr>
          <w:color w:val="000000" w:themeColor="text1"/>
          <w:szCs w:val="22"/>
        </w:rPr>
        <w:t xml:space="preserve">the definitions for Eligible </w:t>
      </w:r>
      <w:r w:rsidR="00A90BCE" w:rsidRPr="00181D10">
        <w:rPr>
          <w:color w:val="000000" w:themeColor="text1"/>
          <w:szCs w:val="22"/>
        </w:rPr>
        <w:t>R</w:t>
      </w:r>
      <w:r w:rsidR="0023206D" w:rsidRPr="00181D10">
        <w:rPr>
          <w:color w:val="000000" w:themeColor="text1"/>
          <w:szCs w:val="22"/>
        </w:rPr>
        <w:t xml:space="preserve">estatement </w:t>
      </w:r>
      <w:r w:rsidR="003A1EE9" w:rsidRPr="00181D10">
        <w:rPr>
          <w:color w:val="000000" w:themeColor="text1"/>
          <w:szCs w:val="22"/>
        </w:rPr>
        <w:t>A</w:t>
      </w:r>
      <w:r w:rsidR="0023206D" w:rsidRPr="00181D10">
        <w:rPr>
          <w:color w:val="000000" w:themeColor="text1"/>
          <w:szCs w:val="22"/>
        </w:rPr>
        <w:t>djustments for the period.</w:t>
      </w:r>
    </w:p>
    <w:p w14:paraId="6444D0F9" w14:textId="77777777" w:rsidR="00723C70" w:rsidRPr="00181D10" w:rsidRDefault="00723C70" w:rsidP="00723C70">
      <w:pPr>
        <w:pStyle w:val="Liststycke"/>
        <w:spacing w:after="0"/>
        <w:ind w:left="360"/>
        <w:rPr>
          <w:color w:val="000000" w:themeColor="text1"/>
          <w:szCs w:val="22"/>
        </w:rPr>
      </w:pPr>
    </w:p>
    <w:p w14:paraId="5CC129C6" w14:textId="5BD4389B" w:rsidR="00BC7D70" w:rsidRPr="00181D10" w:rsidRDefault="00BC7D70" w:rsidP="00181D10">
      <w:pPr>
        <w:spacing w:after="0"/>
        <w:ind w:left="360"/>
        <w:rPr>
          <w:szCs w:val="22"/>
        </w:rPr>
      </w:pPr>
      <w:r w:rsidRPr="00181D10">
        <w:rPr>
          <w:szCs w:val="22"/>
        </w:rPr>
        <w:t xml:space="preserve">Article 2(b) of the draft Model Rules outlines the treatment of restatement adjustments in the computation of the Financial Accounting Profit (or Loss). Restatements of accounting income for prior year(s) would be reflected in the tax base for the period in which the restatement is identified and recognised. The restatements reflected in the tax base are subject to limitations (as set out in the definition of “Eligible Restatement Adjustments”). The current draft proposes an applicable cap on the Eligible Restatement Adjustment for the Period. The level of the cap will be subject to further analysis to balance competing objectives of simplicity and avoidance of excessive single-year impacts. </w:t>
      </w:r>
      <w:r w:rsidRPr="00752139">
        <w:rPr>
          <w:szCs w:val="22"/>
        </w:rPr>
        <w:t>Input from stakeholders is requested on th</w:t>
      </w:r>
      <w:r w:rsidR="00516313" w:rsidRPr="00752139">
        <w:rPr>
          <w:szCs w:val="22"/>
        </w:rPr>
        <w:t>e</w:t>
      </w:r>
      <w:r w:rsidRPr="00752139">
        <w:rPr>
          <w:szCs w:val="22"/>
        </w:rPr>
        <w:t xml:space="preserve"> restatement adjustments</w:t>
      </w:r>
      <w:r w:rsidR="00C31F47" w:rsidRPr="00752139">
        <w:rPr>
          <w:szCs w:val="22"/>
        </w:rPr>
        <w:t>.</w:t>
      </w:r>
    </w:p>
    <w:p w14:paraId="24572EFC" w14:textId="77777777" w:rsidR="00F73EA4" w:rsidRPr="00181D10" w:rsidRDefault="00F73EA4" w:rsidP="00181D10">
      <w:pPr>
        <w:spacing w:after="0"/>
        <w:ind w:left="360"/>
        <w:rPr>
          <w:szCs w:val="22"/>
        </w:rPr>
      </w:pPr>
    </w:p>
    <w:p w14:paraId="4EB35FF6" w14:textId="294E9349" w:rsidR="00BC7D70" w:rsidRPr="00181D10" w:rsidRDefault="00C31F47" w:rsidP="00181D10">
      <w:pPr>
        <w:spacing w:after="0"/>
        <w:ind w:left="360"/>
        <w:rPr>
          <w:szCs w:val="22"/>
        </w:rPr>
      </w:pPr>
      <w:r w:rsidRPr="00181D10">
        <w:rPr>
          <w:szCs w:val="22"/>
        </w:rPr>
        <w:t>ICC notes</w:t>
      </w:r>
      <w:r w:rsidR="00BC7D70" w:rsidRPr="00181D10">
        <w:rPr>
          <w:szCs w:val="22"/>
        </w:rPr>
        <w:t xml:space="preserve"> that a basis in principle for limiting adjustments from the application of IFRS to 0.5% of revenues</w:t>
      </w:r>
      <w:r w:rsidR="0069304F" w:rsidRPr="00181D10">
        <w:rPr>
          <w:szCs w:val="22"/>
        </w:rPr>
        <w:t xml:space="preserve"> is not observed</w:t>
      </w:r>
      <w:r w:rsidR="00BC7D70" w:rsidRPr="00181D10">
        <w:rPr>
          <w:szCs w:val="22"/>
        </w:rPr>
        <w:t>. From the outset, the Covered Group would normally not significantly influence (the timing of) relevant adjustments, including those arising from new or amended IFRS Standards, corrections of errors or voluntary changes in accounting policies. All such adjustments must be made in accordance with IFRS and subject to audit.</w:t>
      </w:r>
    </w:p>
    <w:p w14:paraId="01028937" w14:textId="77777777" w:rsidR="008D4B95" w:rsidRPr="00181D10" w:rsidRDefault="00BC7D70" w:rsidP="00181D10">
      <w:pPr>
        <w:spacing w:after="0"/>
        <w:ind w:left="360"/>
        <w:rPr>
          <w:szCs w:val="22"/>
        </w:rPr>
      </w:pPr>
      <w:r w:rsidRPr="00181D10">
        <w:rPr>
          <w:szCs w:val="22"/>
        </w:rPr>
        <w:t>Furthermore, operationally, this is likely to result in an additional layer of complexity and administrative burden for both tax authorit</w:t>
      </w:r>
      <w:r w:rsidR="0004662F" w:rsidRPr="00181D10">
        <w:rPr>
          <w:szCs w:val="22"/>
        </w:rPr>
        <w:t>ies</w:t>
      </w:r>
      <w:r w:rsidRPr="00181D10">
        <w:rPr>
          <w:szCs w:val="22"/>
        </w:rPr>
        <w:t xml:space="preserve"> and covered MNE Group</w:t>
      </w:r>
      <w:r w:rsidR="0004662F" w:rsidRPr="00181D10">
        <w:rPr>
          <w:szCs w:val="22"/>
        </w:rPr>
        <w:t>s</w:t>
      </w:r>
      <w:r w:rsidRPr="00181D10">
        <w:rPr>
          <w:szCs w:val="22"/>
        </w:rPr>
        <w:t>.</w:t>
      </w:r>
    </w:p>
    <w:p w14:paraId="2F2E5F60" w14:textId="77777777" w:rsidR="008D4B95" w:rsidRPr="00181D10" w:rsidRDefault="008D4B95" w:rsidP="00181D10">
      <w:pPr>
        <w:spacing w:after="0"/>
        <w:ind w:left="360"/>
        <w:rPr>
          <w:szCs w:val="22"/>
        </w:rPr>
      </w:pPr>
    </w:p>
    <w:p w14:paraId="07219AAB" w14:textId="5A44586F" w:rsidR="00BC7D70" w:rsidRPr="00181D10" w:rsidRDefault="008D4B95" w:rsidP="00181D10">
      <w:pPr>
        <w:spacing w:after="0"/>
        <w:ind w:left="360"/>
        <w:rPr>
          <w:szCs w:val="22"/>
        </w:rPr>
      </w:pPr>
      <w:r w:rsidRPr="00181D10">
        <w:rPr>
          <w:szCs w:val="22"/>
        </w:rPr>
        <w:t xml:space="preserve">It seems likely </w:t>
      </w:r>
      <w:r w:rsidR="00BC7D70" w:rsidRPr="00181D10">
        <w:rPr>
          <w:szCs w:val="22"/>
        </w:rPr>
        <w:t xml:space="preserve">that these requirements would also continue to apply for any MNE Group that would be “moving in and out” of the scope of Amount A of Pillar One. Indeed, in all these cases an additional administrative burden and complexity would be added to control a record of adjustments separately from its GAAP books if a restatement exceeds the restatement cap (0.5% of revenues in the period) for the purpose of calculating a cumulative effect on the unrelieved net </w:t>
      </w:r>
      <w:r w:rsidR="00EA4B4A" w:rsidRPr="00181D10">
        <w:rPr>
          <w:szCs w:val="22"/>
        </w:rPr>
        <w:t>l</w:t>
      </w:r>
      <w:r w:rsidR="00BC7D70" w:rsidRPr="00181D10">
        <w:rPr>
          <w:szCs w:val="22"/>
        </w:rPr>
        <w:t xml:space="preserve">osses carry forward. This </w:t>
      </w:r>
      <w:r w:rsidR="00723C70" w:rsidRPr="00181D10">
        <w:rPr>
          <w:szCs w:val="22"/>
        </w:rPr>
        <w:t>administrative</w:t>
      </w:r>
      <w:r w:rsidR="00BC7D70" w:rsidRPr="00181D10">
        <w:rPr>
          <w:szCs w:val="22"/>
        </w:rPr>
        <w:t xml:space="preserve"> burden would also arise in respect of other book to tax adjustments.</w:t>
      </w:r>
    </w:p>
    <w:p w14:paraId="316F1B84" w14:textId="77777777" w:rsidR="004345D4" w:rsidRPr="00181D10" w:rsidRDefault="004345D4" w:rsidP="00181D10">
      <w:pPr>
        <w:spacing w:after="0"/>
        <w:rPr>
          <w:szCs w:val="22"/>
        </w:rPr>
      </w:pPr>
    </w:p>
    <w:p w14:paraId="2FEAFD01" w14:textId="0AAA74CB" w:rsidR="00C23402" w:rsidRPr="00181D10" w:rsidRDefault="00716F0C" w:rsidP="00181D10">
      <w:pPr>
        <w:spacing w:after="0"/>
        <w:ind w:left="360"/>
        <w:rPr>
          <w:color w:val="000000" w:themeColor="text1"/>
          <w:szCs w:val="22"/>
        </w:rPr>
      </w:pPr>
      <w:r w:rsidRPr="00181D10">
        <w:rPr>
          <w:szCs w:val="22"/>
        </w:rPr>
        <w:t xml:space="preserve">In this </w:t>
      </w:r>
      <w:r w:rsidR="005573F4" w:rsidRPr="00181D10">
        <w:rPr>
          <w:szCs w:val="22"/>
        </w:rPr>
        <w:t xml:space="preserve">regard, ICC recommends </w:t>
      </w:r>
      <w:r w:rsidR="005573F4" w:rsidRPr="00181D10">
        <w:rPr>
          <w:color w:val="000000" w:themeColor="text1"/>
          <w:szCs w:val="22"/>
        </w:rPr>
        <w:t>conside</w:t>
      </w:r>
      <w:r w:rsidR="00EA4B4A" w:rsidRPr="00181D10">
        <w:rPr>
          <w:color w:val="000000" w:themeColor="text1"/>
          <w:szCs w:val="22"/>
        </w:rPr>
        <w:t>ring</w:t>
      </w:r>
      <w:r w:rsidR="005573F4" w:rsidRPr="00181D10">
        <w:rPr>
          <w:color w:val="000000" w:themeColor="text1"/>
          <w:szCs w:val="22"/>
        </w:rPr>
        <w:t xml:space="preserve"> removing </w:t>
      </w:r>
      <w:r w:rsidR="00EA4B4A" w:rsidRPr="00181D10">
        <w:rPr>
          <w:color w:val="000000" w:themeColor="text1"/>
          <w:szCs w:val="22"/>
        </w:rPr>
        <w:t xml:space="preserve">the </w:t>
      </w:r>
      <w:r w:rsidR="005573F4" w:rsidRPr="00181D10">
        <w:rPr>
          <w:color w:val="000000" w:themeColor="text1"/>
          <w:szCs w:val="22"/>
        </w:rPr>
        <w:t>cap for these restatements, and the consequential administrative cost and complexity.</w:t>
      </w:r>
    </w:p>
    <w:p w14:paraId="16BE829F" w14:textId="25A5C609" w:rsidR="00206195" w:rsidRPr="00181D10" w:rsidRDefault="00206195" w:rsidP="00181D10">
      <w:pPr>
        <w:spacing w:after="0"/>
        <w:ind w:left="360"/>
        <w:rPr>
          <w:color w:val="000000" w:themeColor="text1"/>
          <w:szCs w:val="22"/>
        </w:rPr>
      </w:pPr>
    </w:p>
    <w:p w14:paraId="46ED6776" w14:textId="32182B99" w:rsidR="000854C5" w:rsidRPr="00181D10" w:rsidRDefault="000854C5" w:rsidP="00181D10">
      <w:pPr>
        <w:pStyle w:val="Liststycke"/>
        <w:numPr>
          <w:ilvl w:val="0"/>
          <w:numId w:val="5"/>
        </w:numPr>
        <w:spacing w:after="0"/>
        <w:rPr>
          <w:color w:val="000000" w:themeColor="text1"/>
          <w:szCs w:val="22"/>
        </w:rPr>
      </w:pPr>
      <w:r w:rsidRPr="00181D10">
        <w:rPr>
          <w:color w:val="000000" w:themeColor="text1"/>
          <w:szCs w:val="22"/>
        </w:rPr>
        <w:t>Article 5 (2)(a)</w:t>
      </w:r>
      <w:r w:rsidR="006C081D" w:rsidRPr="00181D10">
        <w:rPr>
          <w:color w:val="000000" w:themeColor="text1"/>
          <w:szCs w:val="22"/>
        </w:rPr>
        <w:t xml:space="preserve"> (</w:t>
      </w:r>
      <w:r w:rsidRPr="00181D10">
        <w:rPr>
          <w:color w:val="000000" w:themeColor="text1"/>
          <w:szCs w:val="22"/>
        </w:rPr>
        <w:t>page 5</w:t>
      </w:r>
      <w:r w:rsidR="006C081D" w:rsidRPr="00181D10">
        <w:rPr>
          <w:color w:val="000000" w:themeColor="text1"/>
          <w:szCs w:val="22"/>
        </w:rPr>
        <w:t>)</w:t>
      </w:r>
      <w:r w:rsidR="00E0610A" w:rsidRPr="00181D10">
        <w:rPr>
          <w:color w:val="000000" w:themeColor="text1"/>
          <w:szCs w:val="22"/>
        </w:rPr>
        <w:t xml:space="preserve"> </w:t>
      </w:r>
      <w:r w:rsidR="00E13683" w:rsidRPr="00181D10">
        <w:rPr>
          <w:color w:val="000000" w:themeColor="text1"/>
          <w:szCs w:val="22"/>
        </w:rPr>
        <w:t>provides</w:t>
      </w:r>
      <w:r w:rsidR="00E0610A" w:rsidRPr="00181D10">
        <w:rPr>
          <w:color w:val="000000" w:themeColor="text1"/>
          <w:szCs w:val="22"/>
        </w:rPr>
        <w:t xml:space="preserve"> the definition and examples in relation to “Equity Gain or Loss”.</w:t>
      </w:r>
    </w:p>
    <w:p w14:paraId="1C377829" w14:textId="3B2323F8" w:rsidR="00C578CD" w:rsidRPr="00181D10" w:rsidRDefault="00632E4D" w:rsidP="00181D10">
      <w:pPr>
        <w:pStyle w:val="Liststycke"/>
        <w:numPr>
          <w:ilvl w:val="0"/>
          <w:numId w:val="9"/>
        </w:numPr>
        <w:spacing w:after="0"/>
        <w:rPr>
          <w:szCs w:val="22"/>
        </w:rPr>
      </w:pPr>
      <w:r w:rsidRPr="00181D10">
        <w:rPr>
          <w:szCs w:val="22"/>
        </w:rPr>
        <w:t xml:space="preserve">In particular, </w:t>
      </w:r>
      <w:r w:rsidR="0089126B" w:rsidRPr="00181D10">
        <w:rPr>
          <w:szCs w:val="22"/>
        </w:rPr>
        <w:t xml:space="preserve">Article 5(2)(a) outlines required book-to-tax adjustments in the computation of the Financial Accounting Profit (or Loss). It </w:t>
      </w:r>
      <w:r w:rsidR="00D43FC4" w:rsidRPr="00181D10">
        <w:rPr>
          <w:szCs w:val="22"/>
        </w:rPr>
        <w:t>states</w:t>
      </w:r>
      <w:r w:rsidR="0089126B" w:rsidRPr="00181D10">
        <w:rPr>
          <w:szCs w:val="22"/>
        </w:rPr>
        <w:t xml:space="preserve"> that (specified) items of income and deducted expenses must be reversed. This includes Equity Gain (or Loss). </w:t>
      </w:r>
    </w:p>
    <w:p w14:paraId="54CF0257" w14:textId="4C38057D" w:rsidR="0089126B" w:rsidRDefault="0089126B" w:rsidP="00181D10">
      <w:pPr>
        <w:pStyle w:val="Liststycke"/>
        <w:numPr>
          <w:ilvl w:val="0"/>
          <w:numId w:val="9"/>
        </w:numPr>
        <w:spacing w:after="0"/>
        <w:rPr>
          <w:szCs w:val="22"/>
        </w:rPr>
      </w:pPr>
      <w:r w:rsidRPr="00181D10">
        <w:rPr>
          <w:szCs w:val="22"/>
        </w:rPr>
        <w:t xml:space="preserve">Footnote 3 further clarifies that the Commentaries will elaborate on the practical application of the exclusion of specified equity gains and loss. It further notes that this item should be excluded to ensure that the tax base of a Covered Group does not include specified gains or losses generated by another entity. </w:t>
      </w:r>
    </w:p>
    <w:p w14:paraId="76E5043F" w14:textId="77777777" w:rsidR="00B27223" w:rsidRPr="00181D10" w:rsidRDefault="00B27223" w:rsidP="00B27223">
      <w:pPr>
        <w:pStyle w:val="Liststycke"/>
        <w:spacing w:after="0"/>
        <w:rPr>
          <w:szCs w:val="22"/>
        </w:rPr>
      </w:pPr>
    </w:p>
    <w:p w14:paraId="4F6B2F0A" w14:textId="2C276091" w:rsidR="00C22501" w:rsidRDefault="00FD28BF" w:rsidP="00181D10">
      <w:pPr>
        <w:spacing w:after="0"/>
        <w:ind w:left="360"/>
        <w:rPr>
          <w:szCs w:val="22"/>
        </w:rPr>
      </w:pPr>
      <w:r w:rsidRPr="00181D10">
        <w:rPr>
          <w:szCs w:val="22"/>
        </w:rPr>
        <w:t>Additionally, in this regard</w:t>
      </w:r>
      <w:r w:rsidR="00887541" w:rsidRPr="00181D10">
        <w:rPr>
          <w:szCs w:val="22"/>
        </w:rPr>
        <w:t>,</w:t>
      </w:r>
      <w:r w:rsidR="00BD0300" w:rsidRPr="00181D10">
        <w:rPr>
          <w:szCs w:val="22"/>
        </w:rPr>
        <w:t xml:space="preserve"> the </w:t>
      </w:r>
      <w:r w:rsidR="008D1754" w:rsidRPr="00181D10">
        <w:rPr>
          <w:szCs w:val="22"/>
        </w:rPr>
        <w:t xml:space="preserve">following </w:t>
      </w:r>
      <w:r w:rsidR="00BD0300" w:rsidRPr="00181D10">
        <w:rPr>
          <w:szCs w:val="22"/>
        </w:rPr>
        <w:t>question</w:t>
      </w:r>
      <w:r w:rsidR="008D1754" w:rsidRPr="00181D10">
        <w:rPr>
          <w:szCs w:val="22"/>
        </w:rPr>
        <w:t>s</w:t>
      </w:r>
      <w:r w:rsidR="00BD0300" w:rsidRPr="00181D10">
        <w:rPr>
          <w:szCs w:val="22"/>
        </w:rPr>
        <w:t xml:space="preserve"> arise</w:t>
      </w:r>
      <w:r w:rsidR="008D1754" w:rsidRPr="00181D10">
        <w:rPr>
          <w:szCs w:val="22"/>
        </w:rPr>
        <w:t>:</w:t>
      </w:r>
      <w:r w:rsidR="00BD0300" w:rsidRPr="00181D10">
        <w:rPr>
          <w:szCs w:val="22"/>
        </w:rPr>
        <w:t xml:space="preserve"> </w:t>
      </w:r>
      <w:r w:rsidR="00887541" w:rsidRPr="00181D10">
        <w:rPr>
          <w:szCs w:val="22"/>
        </w:rPr>
        <w:t>i) H</w:t>
      </w:r>
      <w:r w:rsidR="00BD0300" w:rsidRPr="00181D10">
        <w:rPr>
          <w:szCs w:val="22"/>
        </w:rPr>
        <w:t>ow</w:t>
      </w:r>
      <w:r w:rsidR="0089126B" w:rsidRPr="00181D10">
        <w:rPr>
          <w:szCs w:val="22"/>
        </w:rPr>
        <w:t xml:space="preserve"> </w:t>
      </w:r>
      <w:r w:rsidR="008D1754" w:rsidRPr="00181D10">
        <w:rPr>
          <w:szCs w:val="22"/>
        </w:rPr>
        <w:t xml:space="preserve">are items of Other Comprehensive Income (OCI) treated? </w:t>
      </w:r>
      <w:r w:rsidR="008A1D1F" w:rsidRPr="00181D10">
        <w:rPr>
          <w:szCs w:val="22"/>
        </w:rPr>
        <w:t>i</w:t>
      </w:r>
      <w:r w:rsidR="00887541" w:rsidRPr="00181D10">
        <w:rPr>
          <w:szCs w:val="22"/>
        </w:rPr>
        <w:t xml:space="preserve">i) </w:t>
      </w:r>
      <w:r w:rsidR="008D1754" w:rsidRPr="00181D10">
        <w:rPr>
          <w:szCs w:val="22"/>
        </w:rPr>
        <w:t>Are these brought into the calculation?</w:t>
      </w:r>
      <w:r w:rsidR="000832E6" w:rsidRPr="00181D10">
        <w:rPr>
          <w:szCs w:val="22"/>
        </w:rPr>
        <w:t xml:space="preserve"> If not, there will be a different tax impact of items recycled/reclassified to profit or loss and those items that are not.</w:t>
      </w:r>
    </w:p>
    <w:p w14:paraId="2DEA35E6" w14:textId="77777777" w:rsidR="00B27223" w:rsidRPr="00181D10" w:rsidRDefault="00B27223" w:rsidP="00181D10">
      <w:pPr>
        <w:spacing w:after="0"/>
        <w:ind w:left="360"/>
        <w:rPr>
          <w:b/>
          <w:bCs/>
          <w:szCs w:val="22"/>
        </w:rPr>
      </w:pPr>
    </w:p>
    <w:p w14:paraId="1864243D" w14:textId="4689CA8B" w:rsidR="0089126B" w:rsidRPr="00181D10" w:rsidRDefault="00C22501" w:rsidP="00181D10">
      <w:pPr>
        <w:spacing w:after="0"/>
        <w:ind w:left="360"/>
        <w:rPr>
          <w:b/>
          <w:bCs/>
          <w:color w:val="000000" w:themeColor="text1"/>
          <w:szCs w:val="22"/>
        </w:rPr>
      </w:pPr>
      <w:r w:rsidRPr="00181D10">
        <w:rPr>
          <w:szCs w:val="22"/>
        </w:rPr>
        <w:t xml:space="preserve">ICC recommends to </w:t>
      </w:r>
      <w:r w:rsidR="007D5E3C" w:rsidRPr="00181D10">
        <w:rPr>
          <w:color w:val="000000" w:themeColor="text1"/>
          <w:szCs w:val="22"/>
        </w:rPr>
        <w:t>provid</w:t>
      </w:r>
      <w:r w:rsidR="00141720" w:rsidRPr="00181D10">
        <w:rPr>
          <w:color w:val="000000" w:themeColor="text1"/>
          <w:szCs w:val="22"/>
        </w:rPr>
        <w:t xml:space="preserve">ing </w:t>
      </w:r>
      <w:r w:rsidR="00CF2324" w:rsidRPr="00181D10">
        <w:rPr>
          <w:color w:val="000000" w:themeColor="text1"/>
          <w:szCs w:val="22"/>
        </w:rPr>
        <w:t>further detail</w:t>
      </w:r>
      <w:r w:rsidR="007D5E3C" w:rsidRPr="00181D10">
        <w:rPr>
          <w:color w:val="000000" w:themeColor="text1"/>
          <w:szCs w:val="22"/>
        </w:rPr>
        <w:t>s</w:t>
      </w:r>
      <w:r w:rsidR="00CF2324" w:rsidRPr="00181D10">
        <w:rPr>
          <w:color w:val="000000" w:themeColor="text1"/>
          <w:szCs w:val="22"/>
        </w:rPr>
        <w:t xml:space="preserve"> as to what is exactly </w:t>
      </w:r>
      <w:r w:rsidR="00141720" w:rsidRPr="00181D10">
        <w:rPr>
          <w:color w:val="000000" w:themeColor="text1"/>
          <w:szCs w:val="22"/>
        </w:rPr>
        <w:t xml:space="preserve">is </w:t>
      </w:r>
      <w:r w:rsidR="00CF2324" w:rsidRPr="00181D10">
        <w:rPr>
          <w:color w:val="000000" w:themeColor="text1"/>
          <w:szCs w:val="22"/>
        </w:rPr>
        <w:t xml:space="preserve">defined as </w:t>
      </w:r>
      <w:r w:rsidR="00141720" w:rsidRPr="00181D10">
        <w:rPr>
          <w:color w:val="000000" w:themeColor="text1"/>
          <w:szCs w:val="22"/>
        </w:rPr>
        <w:t>e</w:t>
      </w:r>
      <w:r w:rsidR="00CF2324" w:rsidRPr="00181D10">
        <w:rPr>
          <w:color w:val="000000" w:themeColor="text1"/>
          <w:szCs w:val="22"/>
        </w:rPr>
        <w:t xml:space="preserve">quity gain or </w:t>
      </w:r>
      <w:r w:rsidR="00141720" w:rsidRPr="00181D10">
        <w:rPr>
          <w:color w:val="000000" w:themeColor="text1"/>
          <w:szCs w:val="22"/>
        </w:rPr>
        <w:t>l</w:t>
      </w:r>
      <w:r w:rsidR="00CF2324" w:rsidRPr="00181D10">
        <w:rPr>
          <w:color w:val="000000" w:themeColor="text1"/>
          <w:szCs w:val="22"/>
        </w:rPr>
        <w:t>oss under the rules and why, supported by examples of the practical application of the exclusion of specified equity gains and loss, including examples in respect of i) a subsidiary, ii) an associate and/ or iii) JV.</w:t>
      </w:r>
      <w:r w:rsidR="00CE45B9" w:rsidRPr="00181D10">
        <w:rPr>
          <w:color w:val="000000" w:themeColor="text1"/>
          <w:szCs w:val="22"/>
        </w:rPr>
        <w:t xml:space="preserve"> Moreover, </w:t>
      </w:r>
      <w:r w:rsidR="000D6835" w:rsidRPr="00181D10">
        <w:rPr>
          <w:color w:val="000000" w:themeColor="text1"/>
          <w:szCs w:val="22"/>
        </w:rPr>
        <w:t>it may be useful to i</w:t>
      </w:r>
      <w:r w:rsidR="00CF2324" w:rsidRPr="00181D10">
        <w:rPr>
          <w:color w:val="000000" w:themeColor="text1"/>
          <w:szCs w:val="22"/>
        </w:rPr>
        <w:t xml:space="preserve">nclude further guidance and/ or clarification as to how items of Other Comprehensive Income (OCI) </w:t>
      </w:r>
      <w:r w:rsidR="00FC56ED" w:rsidRPr="00181D10">
        <w:rPr>
          <w:color w:val="000000" w:themeColor="text1"/>
          <w:szCs w:val="22"/>
        </w:rPr>
        <w:t>are</w:t>
      </w:r>
      <w:r w:rsidR="00CF2324" w:rsidRPr="00181D10">
        <w:rPr>
          <w:color w:val="000000" w:themeColor="text1"/>
          <w:szCs w:val="22"/>
        </w:rPr>
        <w:t xml:space="preserve"> treated.</w:t>
      </w:r>
    </w:p>
    <w:p w14:paraId="10674A07" w14:textId="7D3FD35A" w:rsidR="00B52A1E" w:rsidRPr="00181D10" w:rsidRDefault="00B52A1E" w:rsidP="00181D10">
      <w:pPr>
        <w:spacing w:after="0"/>
        <w:rPr>
          <w:b/>
          <w:bCs/>
          <w:color w:val="000000" w:themeColor="text1"/>
          <w:szCs w:val="22"/>
        </w:rPr>
      </w:pPr>
    </w:p>
    <w:p w14:paraId="1C920165" w14:textId="39913ADE" w:rsidR="002135FD" w:rsidRPr="005828DD" w:rsidRDefault="00261DC5" w:rsidP="005828DD">
      <w:pPr>
        <w:pStyle w:val="Liststycke"/>
        <w:numPr>
          <w:ilvl w:val="0"/>
          <w:numId w:val="5"/>
        </w:numPr>
        <w:spacing w:after="0"/>
        <w:rPr>
          <w:color w:val="000000" w:themeColor="text1"/>
          <w:szCs w:val="22"/>
        </w:rPr>
      </w:pPr>
      <w:r w:rsidRPr="00181D10">
        <w:rPr>
          <w:color w:val="000000" w:themeColor="text1"/>
          <w:szCs w:val="22"/>
        </w:rPr>
        <w:t xml:space="preserve">Article (c) (page 8) </w:t>
      </w:r>
      <w:r w:rsidR="000446C5" w:rsidRPr="00181D10">
        <w:rPr>
          <w:color w:val="000000" w:themeColor="text1"/>
          <w:szCs w:val="22"/>
        </w:rPr>
        <w:t>of</w:t>
      </w:r>
      <w:r w:rsidRPr="00181D10">
        <w:rPr>
          <w:color w:val="000000" w:themeColor="text1"/>
          <w:szCs w:val="22"/>
        </w:rPr>
        <w:t xml:space="preserve"> </w:t>
      </w:r>
      <w:r w:rsidR="000446C5" w:rsidRPr="00181D10">
        <w:rPr>
          <w:color w:val="000000" w:themeColor="text1"/>
          <w:szCs w:val="22"/>
        </w:rPr>
        <w:t xml:space="preserve">the Equity Gain </w:t>
      </w:r>
      <w:r w:rsidR="006A54A0" w:rsidRPr="00181D10">
        <w:rPr>
          <w:color w:val="000000" w:themeColor="text1"/>
          <w:szCs w:val="22"/>
        </w:rPr>
        <w:t>or</w:t>
      </w:r>
      <w:r w:rsidR="000446C5" w:rsidRPr="00181D10">
        <w:rPr>
          <w:color w:val="000000" w:themeColor="text1"/>
          <w:szCs w:val="22"/>
        </w:rPr>
        <w:t xml:space="preserve"> Loss definition </w:t>
      </w:r>
      <w:r w:rsidR="00C510A9" w:rsidRPr="00181D10">
        <w:rPr>
          <w:color w:val="000000" w:themeColor="text1"/>
          <w:szCs w:val="22"/>
        </w:rPr>
        <w:t xml:space="preserve">states </w:t>
      </w:r>
      <w:r w:rsidRPr="00181D10">
        <w:rPr>
          <w:color w:val="000000" w:themeColor="text1"/>
          <w:szCs w:val="22"/>
        </w:rPr>
        <w:t xml:space="preserve">that </w:t>
      </w:r>
      <w:r w:rsidR="00C510A9" w:rsidRPr="00181D10">
        <w:rPr>
          <w:szCs w:val="22"/>
        </w:rPr>
        <w:t xml:space="preserve">profit or loss derived from a Joint Venture </w:t>
      </w:r>
      <w:r w:rsidR="000446C5" w:rsidRPr="00181D10">
        <w:rPr>
          <w:szCs w:val="22"/>
        </w:rPr>
        <w:t xml:space="preserve">(JV) should be excluded </w:t>
      </w:r>
      <w:r w:rsidR="00081ED9" w:rsidRPr="00181D10">
        <w:rPr>
          <w:szCs w:val="22"/>
        </w:rPr>
        <w:t>from calculating the Financial Accounting Profit (or Loss) of a Covered Group under a Qualifying Financial Accounting Standard.</w:t>
      </w:r>
      <w:r w:rsidR="005828DD">
        <w:rPr>
          <w:szCs w:val="22"/>
        </w:rPr>
        <w:t xml:space="preserve">  </w:t>
      </w:r>
      <w:r w:rsidR="001B7A4B" w:rsidRPr="005828DD">
        <w:rPr>
          <w:szCs w:val="22"/>
        </w:rPr>
        <w:t>However, it is</w:t>
      </w:r>
      <w:r w:rsidR="00A95DAD" w:rsidRPr="005828DD">
        <w:rPr>
          <w:szCs w:val="22"/>
        </w:rPr>
        <w:t xml:space="preserve"> </w:t>
      </w:r>
      <w:r w:rsidR="00A95DAD" w:rsidRPr="005828DD">
        <w:rPr>
          <w:color w:val="000000" w:themeColor="text1"/>
          <w:szCs w:val="22"/>
        </w:rPr>
        <w:t xml:space="preserve">unclear </w:t>
      </w:r>
      <w:r w:rsidR="00447FA9" w:rsidRPr="005828DD">
        <w:rPr>
          <w:color w:val="000000" w:themeColor="text1"/>
          <w:szCs w:val="22"/>
        </w:rPr>
        <w:t xml:space="preserve">as to </w:t>
      </w:r>
      <w:r w:rsidR="002135FD" w:rsidRPr="005828DD">
        <w:rPr>
          <w:szCs w:val="22"/>
        </w:rPr>
        <w:t>why JVs and associates are treated differently when the accounting is the same</w:t>
      </w:r>
      <w:r w:rsidR="00C51E66" w:rsidRPr="005828DD">
        <w:rPr>
          <w:szCs w:val="22"/>
        </w:rPr>
        <w:t>.</w:t>
      </w:r>
    </w:p>
    <w:p w14:paraId="7FA23D87" w14:textId="77777777" w:rsidR="00B27223" w:rsidRPr="00181D10" w:rsidRDefault="00B27223" w:rsidP="00181D10">
      <w:pPr>
        <w:pStyle w:val="Liststycke"/>
        <w:spacing w:after="0"/>
        <w:ind w:left="360"/>
        <w:rPr>
          <w:color w:val="000000" w:themeColor="text1"/>
          <w:szCs w:val="22"/>
        </w:rPr>
      </w:pPr>
    </w:p>
    <w:p w14:paraId="6F3D4521" w14:textId="2DDC6C1E" w:rsidR="002135FD" w:rsidRDefault="00BA5731" w:rsidP="00181D10">
      <w:pPr>
        <w:spacing w:after="0"/>
        <w:ind w:left="360"/>
        <w:rPr>
          <w:szCs w:val="22"/>
        </w:rPr>
      </w:pPr>
      <w:r w:rsidRPr="00181D10">
        <w:rPr>
          <w:szCs w:val="22"/>
        </w:rPr>
        <w:t>With respect to d</w:t>
      </w:r>
      <w:r w:rsidR="002135FD" w:rsidRPr="00181D10">
        <w:rPr>
          <w:szCs w:val="22"/>
        </w:rPr>
        <w:t>istinction/Exclusion of treatment for reversal of income/expense of Profit or loss derived from a Joint Venture (JV)</w:t>
      </w:r>
      <w:r w:rsidRPr="00181D10">
        <w:rPr>
          <w:szCs w:val="22"/>
        </w:rPr>
        <w:t xml:space="preserve"> - for</w:t>
      </w:r>
      <w:r w:rsidR="002135FD" w:rsidRPr="00181D10">
        <w:rPr>
          <w:szCs w:val="22"/>
        </w:rPr>
        <w:t xml:space="preserve"> IFRS accounting purposes JVs are accounted using the equity method as an equity interest.</w:t>
      </w:r>
    </w:p>
    <w:p w14:paraId="64A07EB4" w14:textId="77777777" w:rsidR="00B27223" w:rsidRPr="00181D10" w:rsidRDefault="00B27223" w:rsidP="00181D10">
      <w:pPr>
        <w:spacing w:after="0"/>
        <w:ind w:left="360"/>
        <w:rPr>
          <w:b/>
          <w:bCs/>
          <w:szCs w:val="22"/>
        </w:rPr>
      </w:pPr>
    </w:p>
    <w:p w14:paraId="6A1ECA3E" w14:textId="77777777" w:rsidR="00181D10" w:rsidRPr="00181D10" w:rsidRDefault="006D44FE" w:rsidP="00181D10">
      <w:pPr>
        <w:spacing w:after="0"/>
        <w:ind w:left="360"/>
        <w:rPr>
          <w:color w:val="000000" w:themeColor="text1"/>
          <w:szCs w:val="22"/>
        </w:rPr>
      </w:pPr>
      <w:r w:rsidRPr="00181D10">
        <w:rPr>
          <w:szCs w:val="22"/>
        </w:rPr>
        <w:t xml:space="preserve">ICC suggests </w:t>
      </w:r>
      <w:r w:rsidRPr="00181D10">
        <w:rPr>
          <w:color w:val="000000" w:themeColor="text1"/>
          <w:szCs w:val="22"/>
        </w:rPr>
        <w:t>remov</w:t>
      </w:r>
      <w:r w:rsidR="00181D10" w:rsidRPr="00181D10">
        <w:rPr>
          <w:color w:val="000000" w:themeColor="text1"/>
          <w:szCs w:val="22"/>
        </w:rPr>
        <w:t>ing the</w:t>
      </w:r>
      <w:r w:rsidRPr="00181D10">
        <w:rPr>
          <w:color w:val="000000" w:themeColor="text1"/>
          <w:szCs w:val="22"/>
        </w:rPr>
        <w:t xml:space="preserve"> difference in treatment</w:t>
      </w:r>
      <w:r w:rsidRPr="00181D10">
        <w:rPr>
          <w:rFonts w:eastAsiaTheme="minorEastAsia"/>
          <w:szCs w:val="22"/>
          <w:lang w:eastAsia="zh-CN"/>
        </w:rPr>
        <w:t xml:space="preserve"> </w:t>
      </w:r>
      <w:r w:rsidR="00181D10" w:rsidRPr="00181D10">
        <w:rPr>
          <w:rFonts w:eastAsiaTheme="minorEastAsia"/>
          <w:szCs w:val="22"/>
          <w:lang w:eastAsia="zh-CN"/>
        </w:rPr>
        <w:t xml:space="preserve">for </w:t>
      </w:r>
      <w:r w:rsidRPr="00181D10">
        <w:rPr>
          <w:color w:val="000000" w:themeColor="text1"/>
          <w:szCs w:val="22"/>
        </w:rPr>
        <w:t xml:space="preserve">JVs and associates, or </w:t>
      </w:r>
      <w:r w:rsidR="00181D10" w:rsidRPr="00181D10">
        <w:rPr>
          <w:color w:val="000000" w:themeColor="text1"/>
          <w:szCs w:val="22"/>
        </w:rPr>
        <w:t xml:space="preserve">alternatively, </w:t>
      </w:r>
      <w:r w:rsidRPr="00181D10">
        <w:rPr>
          <w:color w:val="000000" w:themeColor="text1"/>
          <w:szCs w:val="22"/>
        </w:rPr>
        <w:t>provide sufficient explanation/clarification.</w:t>
      </w:r>
    </w:p>
    <w:p w14:paraId="7F9B6624" w14:textId="77777777" w:rsidR="00181D10" w:rsidRPr="00181D10" w:rsidRDefault="00181D10" w:rsidP="00181D10">
      <w:pPr>
        <w:spacing w:after="0"/>
        <w:ind w:left="360"/>
        <w:rPr>
          <w:szCs w:val="22"/>
        </w:rPr>
      </w:pPr>
    </w:p>
    <w:p w14:paraId="110AA163" w14:textId="42485BA6" w:rsidR="00C23402" w:rsidRDefault="00C23402" w:rsidP="00723C70">
      <w:pPr>
        <w:spacing w:after="0"/>
        <w:ind w:left="360"/>
        <w:rPr>
          <w:bCs/>
        </w:rPr>
      </w:pPr>
      <w:r w:rsidRPr="00181D10">
        <w:rPr>
          <w:szCs w:val="22"/>
        </w:rPr>
        <w:t>ICC remains committed to providing knowledge and expertise on behalf of the global business community.</w:t>
      </w:r>
    </w:p>
    <w:p w14:paraId="5FDDFFD8" w14:textId="5BC1AC3B" w:rsidR="00C23402" w:rsidRDefault="00C23402" w:rsidP="00C23402">
      <w:pPr>
        <w:rPr>
          <w:bCs/>
        </w:rPr>
      </w:pPr>
      <w:r>
        <w:rPr>
          <w:bCs/>
          <w:noProof/>
        </w:rPr>
        <mc:AlternateContent>
          <mc:Choice Requires="wps">
            <w:drawing>
              <wp:anchor distT="0" distB="0" distL="114300" distR="114300" simplePos="0" relativeHeight="251658240" behindDoc="1" locked="0" layoutInCell="1" allowOverlap="1" wp14:anchorId="2FF942DA" wp14:editId="190A5818">
                <wp:simplePos x="0" y="0"/>
                <wp:positionH relativeFrom="column">
                  <wp:posOffset>-168812</wp:posOffset>
                </wp:positionH>
                <wp:positionV relativeFrom="paragraph">
                  <wp:posOffset>128954</wp:posOffset>
                </wp:positionV>
                <wp:extent cx="6147581" cy="1392701"/>
                <wp:effectExtent l="0" t="0" r="5715" b="0"/>
                <wp:wrapNone/>
                <wp:docPr id="3" name="Rectangle 3"/>
                <wp:cNvGraphicFramePr/>
                <a:graphic xmlns:a="http://schemas.openxmlformats.org/drawingml/2006/main">
                  <a:graphicData uri="http://schemas.microsoft.com/office/word/2010/wordprocessingShape">
                    <wps:wsp>
                      <wps:cNvSpPr/>
                      <wps:spPr>
                        <a:xfrm>
                          <a:off x="0" y="0"/>
                          <a:ext cx="6147581" cy="1392701"/>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B9199" id="Rectangle 3" o:spid="_x0000_s1026" style="position:absolute;margin-left:-13.3pt;margin-top:10.15pt;width:484.05pt;height:10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" fillcolor="#7b7b7b [2406]" stroked="f" strokeweight="1pt"/>
            </w:pict>
          </mc:Fallback>
        </mc:AlternateContent>
      </w:r>
    </w:p>
    <w:p w14:paraId="010EF3E0" w14:textId="77777777" w:rsidR="00C23402" w:rsidRPr="00324DD6" w:rsidRDefault="00C23402" w:rsidP="00C23402">
      <w:pPr>
        <w:pStyle w:val="Aucunstyle"/>
        <w:spacing w:before="60"/>
        <w:rPr>
          <w:rFonts w:ascii="Gotham Bold" w:hAnsi="Gotham Bold" w:cs="Gotham Bold"/>
          <w:caps/>
          <w:color w:val="FFFFFF"/>
          <w:spacing w:val="-2"/>
          <w:sz w:val="18"/>
          <w:szCs w:val="18"/>
          <w:lang w:val="en-US"/>
        </w:rPr>
      </w:pPr>
      <w:r w:rsidRPr="00324DD6">
        <w:rPr>
          <w:rFonts w:ascii="Gotham Bold" w:hAnsi="Gotham Bold" w:cs="Gotham Bold"/>
          <w:caps/>
          <w:color w:val="7AAEDE"/>
          <w:spacing w:val="-2"/>
          <w:sz w:val="18"/>
          <w:szCs w:val="18"/>
          <w:lang w:val="en-US"/>
        </w:rPr>
        <w:t>About The International Chamber of Commerce (ICC)</w:t>
      </w:r>
    </w:p>
    <w:p w14:paraId="1084FF7C" w14:textId="067F819E" w:rsidR="00C23402" w:rsidRDefault="00C23402" w:rsidP="00C23402">
      <w:pPr>
        <w:rPr>
          <w:bCs/>
        </w:rPr>
      </w:pPr>
      <w:r>
        <w:rPr>
          <w:rFonts w:cs="Gotham Book"/>
          <w:color w:val="FFFFFF"/>
          <w:spacing w:val="-2"/>
          <w:sz w:val="18"/>
          <w:szCs w:val="18"/>
        </w:rPr>
        <w:t xml:space="preserve">The International Chamber of Commerce (ICC) is the institutional representative of more than 45 million </w:t>
      </w:r>
      <w:r>
        <w:rPr>
          <w:rFonts w:cs="Gotham Book"/>
          <w:color w:val="FFFFFF"/>
          <w:spacing w:val="2"/>
          <w:sz w:val="18"/>
          <w:szCs w:val="18"/>
        </w:rPr>
        <w:t xml:space="preserve">companies in over 100 countries. ICC’s core mission is to make business work for everyone, every </w:t>
      </w:r>
      <w:r>
        <w:rPr>
          <w:rFonts w:cs="Gotham Book"/>
          <w:color w:val="FFFFFF"/>
          <w:spacing w:val="2"/>
          <w:sz w:val="18"/>
          <w:szCs w:val="18"/>
        </w:rPr>
        <w:br/>
        <w:t xml:space="preserve">day, everywhere. Through a unique mix of advocacy, solutions and standard setting, we promote international trade, responsible business conduct and a global approach to regulation, in addition </w:t>
      </w:r>
      <w:r>
        <w:rPr>
          <w:rFonts w:cs="Gotham Book"/>
          <w:color w:val="FFFFFF"/>
          <w:spacing w:val="2"/>
          <w:sz w:val="18"/>
          <w:szCs w:val="18"/>
        </w:rPr>
        <w:br/>
        <w:t>to providing market-leading dispute resolution services. Our members include many of the world’s leading companies, SMEs, business associations and local chambers of commerce.</w:t>
      </w:r>
    </w:p>
    <w:p w14:paraId="3959E384" w14:textId="77777777" w:rsidR="00C23402" w:rsidRPr="00C23402" w:rsidRDefault="00C23402" w:rsidP="00971627"/>
    <w:sectPr w:rsidR="00C23402" w:rsidRPr="00C2340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3A4D" w14:textId="77777777" w:rsidR="00556F2D" w:rsidRDefault="00556F2D" w:rsidP="00C23402">
      <w:pPr>
        <w:spacing w:after="0"/>
      </w:pPr>
      <w:r>
        <w:separator/>
      </w:r>
    </w:p>
  </w:endnote>
  <w:endnote w:type="continuationSeparator" w:id="0">
    <w:p w14:paraId="4DA46A77" w14:textId="77777777" w:rsidR="00556F2D" w:rsidRDefault="00556F2D" w:rsidP="00C23402">
      <w:pPr>
        <w:spacing w:after="0"/>
      </w:pPr>
      <w:r>
        <w:continuationSeparator/>
      </w:r>
    </w:p>
  </w:endnote>
  <w:endnote w:type="continuationNotice" w:id="1">
    <w:p w14:paraId="6FF5E350" w14:textId="77777777" w:rsidR="00556F2D" w:rsidRDefault="00556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Gotham Book">
    <w:panose1 w:val="00000000000000000000"/>
    <w:charset w:val="00"/>
    <w:family w:val="auto"/>
    <w:notTrueType/>
    <w:pitch w:val="variable"/>
    <w:sig w:usb0="A00002FF" w:usb1="4000005B" w:usb2="00000000" w:usb3="00000000" w:csb0="0000009F" w:csb1="00000000"/>
  </w:font>
  <w:font w:name="ヒラギノ角ゴ Pro W3">
    <w:altName w:val="Yu Gothic"/>
    <w:panose1 w:val="020B0300000000000000"/>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B0604020202020204"/>
    <w:charset w:val="00"/>
    <w:family w:val="auto"/>
    <w:pitch w:val="variable"/>
    <w:sig w:usb0="60000287" w:usb1="00000001" w:usb2="00000000" w:usb3="00000000" w:csb0="0000019F" w:csb1="00000000"/>
  </w:font>
  <w:font w:name="Gotham Bold">
    <w:panose1 w:val="00000000000000000000"/>
    <w:charset w:val="00"/>
    <w:family w:val="auto"/>
    <w:notTrueType/>
    <w:pitch w:val="variable"/>
    <w:sig w:usb0="A00002FF" w:usb1="40000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B501" w14:textId="527D990F" w:rsidR="00C23402" w:rsidRPr="00C23402" w:rsidRDefault="00C23402" w:rsidP="00C23402">
    <w:pPr>
      <w:pStyle w:val="zFooter"/>
      <w:rPr>
        <w:color w:val="808080" w:themeColor="background1" w:themeShade="80"/>
      </w:rPr>
    </w:pPr>
    <w:r w:rsidRPr="00C23402">
      <w:rPr>
        <w:color w:val="808080" w:themeColor="background1" w:themeShade="80"/>
      </w:rPr>
      <w:t xml:space="preserve">February 2022 | ICC response to OECD Pillar 1 consultation on </w:t>
    </w:r>
    <w:r>
      <w:rPr>
        <w:color w:val="808080" w:themeColor="background1" w:themeShade="80"/>
      </w:rPr>
      <w:t xml:space="preserve">tax base determinations </w:t>
    </w:r>
    <w:r w:rsidRPr="00C23402">
      <w:rPr>
        <w:color w:val="808080" w:themeColor="background1" w:themeShade="80"/>
      </w:rPr>
      <w:t xml:space="preserve">| </w:t>
    </w:r>
    <w:r w:rsidRPr="00C23402">
      <w:rPr>
        <w:b/>
        <w:bCs/>
        <w:color w:val="808080" w:themeColor="background1" w:themeShade="80"/>
      </w:rPr>
      <w:fldChar w:fldCharType="begin"/>
    </w:r>
    <w:r w:rsidRPr="00C23402">
      <w:rPr>
        <w:b/>
        <w:bCs/>
        <w:color w:val="808080" w:themeColor="background1" w:themeShade="80"/>
      </w:rPr>
      <w:instrText xml:space="preserve"> PAGE </w:instrText>
    </w:r>
    <w:r w:rsidRPr="00C23402">
      <w:rPr>
        <w:b/>
        <w:bCs/>
        <w:color w:val="808080" w:themeColor="background1" w:themeShade="80"/>
      </w:rPr>
      <w:fldChar w:fldCharType="separate"/>
    </w:r>
    <w:r w:rsidRPr="00C23402">
      <w:rPr>
        <w:b/>
        <w:bCs/>
        <w:color w:val="808080" w:themeColor="background1" w:themeShade="80"/>
      </w:rPr>
      <w:t>11</w:t>
    </w:r>
    <w:r w:rsidRPr="00C23402">
      <w:rPr>
        <w:b/>
        <w:bC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F0BD" w14:textId="77777777" w:rsidR="00556F2D" w:rsidRDefault="00556F2D" w:rsidP="00C23402">
      <w:pPr>
        <w:spacing w:after="0"/>
      </w:pPr>
      <w:r>
        <w:separator/>
      </w:r>
    </w:p>
  </w:footnote>
  <w:footnote w:type="continuationSeparator" w:id="0">
    <w:p w14:paraId="0BBD3329" w14:textId="77777777" w:rsidR="00556F2D" w:rsidRDefault="00556F2D" w:rsidP="00C23402">
      <w:pPr>
        <w:spacing w:after="0"/>
      </w:pPr>
      <w:r>
        <w:continuationSeparator/>
      </w:r>
    </w:p>
  </w:footnote>
  <w:footnote w:type="continuationNotice" w:id="1">
    <w:p w14:paraId="2F011F27" w14:textId="77777777" w:rsidR="00556F2D" w:rsidRDefault="00556F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4EF"/>
    <w:multiLevelType w:val="hybridMultilevel"/>
    <w:tmpl w:val="718CA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47827"/>
    <w:multiLevelType w:val="hybridMultilevel"/>
    <w:tmpl w:val="8ED6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E06CD"/>
    <w:multiLevelType w:val="hybridMultilevel"/>
    <w:tmpl w:val="135E70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191A2A"/>
    <w:multiLevelType w:val="hybridMultilevel"/>
    <w:tmpl w:val="4DFC1D18"/>
    <w:lvl w:ilvl="0" w:tplc="993AE094">
      <w:start w:val="1"/>
      <w:numFmt w:val="bullet"/>
      <w:pStyle w:val="Bullet1"/>
      <w:lvlText w:val="—"/>
      <w:lvlJc w:val="left"/>
      <w:pPr>
        <w:ind w:left="720" w:hanging="360"/>
      </w:pPr>
      <w:rPr>
        <w:rFonts w:ascii="Arial Black" w:hAnsi="Arial Black"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D6555D"/>
    <w:multiLevelType w:val="hybridMultilevel"/>
    <w:tmpl w:val="AE4292B2"/>
    <w:lvl w:ilvl="0" w:tplc="A48E6BA8">
      <w:start w:val="1"/>
      <w:numFmt w:val="decimal"/>
      <w:lvlText w:val="%1."/>
      <w:lvlJc w:val="left"/>
      <w:pPr>
        <w:ind w:left="360" w:hanging="360"/>
      </w:pPr>
      <w:rPr>
        <w:rFonts w:ascii="Gotham Book" w:eastAsia="ヒラギノ角ゴ Pro W3" w:hAnsi="Gotham Book"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C919F2"/>
    <w:multiLevelType w:val="hybridMultilevel"/>
    <w:tmpl w:val="250C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E3A9E"/>
    <w:multiLevelType w:val="hybridMultilevel"/>
    <w:tmpl w:val="1A2430C6"/>
    <w:lvl w:ilvl="0" w:tplc="F1280E1E">
      <w:start w:val="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792D08"/>
    <w:multiLevelType w:val="hybridMultilevel"/>
    <w:tmpl w:val="837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33872"/>
    <w:multiLevelType w:val="hybridMultilevel"/>
    <w:tmpl w:val="6CA6B6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403AFC"/>
    <w:multiLevelType w:val="hybridMultilevel"/>
    <w:tmpl w:val="1DA8113E"/>
    <w:lvl w:ilvl="0" w:tplc="1FAEA7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4"/>
  </w:num>
  <w:num w:numId="6">
    <w:abstractNumId w:val="8"/>
  </w:num>
  <w:num w:numId="7">
    <w:abstractNumId w:val="9"/>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27"/>
    <w:rsid w:val="00004B12"/>
    <w:rsid w:val="000224D1"/>
    <w:rsid w:val="0002582B"/>
    <w:rsid w:val="000360D2"/>
    <w:rsid w:val="000446C5"/>
    <w:rsid w:val="000454B3"/>
    <w:rsid w:val="0004647F"/>
    <w:rsid w:val="0004662F"/>
    <w:rsid w:val="00063544"/>
    <w:rsid w:val="000658AE"/>
    <w:rsid w:val="00081ED9"/>
    <w:rsid w:val="00082345"/>
    <w:rsid w:val="000832E6"/>
    <w:rsid w:val="000854C5"/>
    <w:rsid w:val="0009061E"/>
    <w:rsid w:val="00094D65"/>
    <w:rsid w:val="00094FEB"/>
    <w:rsid w:val="00095279"/>
    <w:rsid w:val="000A7B72"/>
    <w:rsid w:val="000B0107"/>
    <w:rsid w:val="000B1DBB"/>
    <w:rsid w:val="000B457F"/>
    <w:rsid w:val="000C73DD"/>
    <w:rsid w:val="000D030D"/>
    <w:rsid w:val="000D6835"/>
    <w:rsid w:val="000D7190"/>
    <w:rsid w:val="000F1C68"/>
    <w:rsid w:val="000F5A51"/>
    <w:rsid w:val="000F6770"/>
    <w:rsid w:val="00111B5B"/>
    <w:rsid w:val="001144EA"/>
    <w:rsid w:val="001204E5"/>
    <w:rsid w:val="00141720"/>
    <w:rsid w:val="00143F14"/>
    <w:rsid w:val="001500B8"/>
    <w:rsid w:val="001552A9"/>
    <w:rsid w:val="001564C4"/>
    <w:rsid w:val="00166B56"/>
    <w:rsid w:val="00170D2B"/>
    <w:rsid w:val="00181D10"/>
    <w:rsid w:val="00184755"/>
    <w:rsid w:val="00186990"/>
    <w:rsid w:val="001912A1"/>
    <w:rsid w:val="00193DB7"/>
    <w:rsid w:val="001A0245"/>
    <w:rsid w:val="001B6E23"/>
    <w:rsid w:val="001B7A4B"/>
    <w:rsid w:val="001D1C47"/>
    <w:rsid w:val="001D4D71"/>
    <w:rsid w:val="001E1050"/>
    <w:rsid w:val="00205B3D"/>
    <w:rsid w:val="00206195"/>
    <w:rsid w:val="00210BAE"/>
    <w:rsid w:val="002135FD"/>
    <w:rsid w:val="00214A8F"/>
    <w:rsid w:val="0021751A"/>
    <w:rsid w:val="0022619B"/>
    <w:rsid w:val="0023206D"/>
    <w:rsid w:val="00240D0F"/>
    <w:rsid w:val="0024557E"/>
    <w:rsid w:val="00246ABB"/>
    <w:rsid w:val="00253BDA"/>
    <w:rsid w:val="0025553D"/>
    <w:rsid w:val="00261DC5"/>
    <w:rsid w:val="00263FD8"/>
    <w:rsid w:val="00272F8C"/>
    <w:rsid w:val="0027586B"/>
    <w:rsid w:val="00277778"/>
    <w:rsid w:val="0028492F"/>
    <w:rsid w:val="00286A25"/>
    <w:rsid w:val="002A11E3"/>
    <w:rsid w:val="002A34CB"/>
    <w:rsid w:val="002A543E"/>
    <w:rsid w:val="002A7833"/>
    <w:rsid w:val="002E5C66"/>
    <w:rsid w:val="00314211"/>
    <w:rsid w:val="00325A31"/>
    <w:rsid w:val="00335C7C"/>
    <w:rsid w:val="00343AF9"/>
    <w:rsid w:val="00344BF8"/>
    <w:rsid w:val="0034726F"/>
    <w:rsid w:val="003574A9"/>
    <w:rsid w:val="00361BC8"/>
    <w:rsid w:val="003742CC"/>
    <w:rsid w:val="00375906"/>
    <w:rsid w:val="003814D3"/>
    <w:rsid w:val="00382E58"/>
    <w:rsid w:val="003A0EFF"/>
    <w:rsid w:val="003A1EE9"/>
    <w:rsid w:val="003B4E86"/>
    <w:rsid w:val="003C0CB3"/>
    <w:rsid w:val="003C1FB0"/>
    <w:rsid w:val="003C5524"/>
    <w:rsid w:val="003D68D8"/>
    <w:rsid w:val="003E1FC4"/>
    <w:rsid w:val="003E3673"/>
    <w:rsid w:val="003E775F"/>
    <w:rsid w:val="003F56A5"/>
    <w:rsid w:val="003F7A90"/>
    <w:rsid w:val="00402B10"/>
    <w:rsid w:val="00427A06"/>
    <w:rsid w:val="0043239B"/>
    <w:rsid w:val="004345D4"/>
    <w:rsid w:val="00435E77"/>
    <w:rsid w:val="00437DB9"/>
    <w:rsid w:val="00440FD0"/>
    <w:rsid w:val="00441ED4"/>
    <w:rsid w:val="004453CA"/>
    <w:rsid w:val="00446C12"/>
    <w:rsid w:val="00447AF5"/>
    <w:rsid w:val="00447FA9"/>
    <w:rsid w:val="00450728"/>
    <w:rsid w:val="004515F2"/>
    <w:rsid w:val="0045546B"/>
    <w:rsid w:val="00455556"/>
    <w:rsid w:val="0045692D"/>
    <w:rsid w:val="004629A9"/>
    <w:rsid w:val="004655DF"/>
    <w:rsid w:val="00470132"/>
    <w:rsid w:val="0047295C"/>
    <w:rsid w:val="00492F66"/>
    <w:rsid w:val="004959FC"/>
    <w:rsid w:val="0049655F"/>
    <w:rsid w:val="00496883"/>
    <w:rsid w:val="004B5876"/>
    <w:rsid w:val="004B6F69"/>
    <w:rsid w:val="004C56E1"/>
    <w:rsid w:val="004D653E"/>
    <w:rsid w:val="004D7D26"/>
    <w:rsid w:val="004E629A"/>
    <w:rsid w:val="004F1319"/>
    <w:rsid w:val="004F262F"/>
    <w:rsid w:val="00510A90"/>
    <w:rsid w:val="00514D29"/>
    <w:rsid w:val="00516313"/>
    <w:rsid w:val="00516AE1"/>
    <w:rsid w:val="00520419"/>
    <w:rsid w:val="00524664"/>
    <w:rsid w:val="00531E7E"/>
    <w:rsid w:val="00540D23"/>
    <w:rsid w:val="00543500"/>
    <w:rsid w:val="00544814"/>
    <w:rsid w:val="00547E17"/>
    <w:rsid w:val="00551184"/>
    <w:rsid w:val="00551CF4"/>
    <w:rsid w:val="00556F2D"/>
    <w:rsid w:val="005573F4"/>
    <w:rsid w:val="005713C5"/>
    <w:rsid w:val="00581699"/>
    <w:rsid w:val="005828DD"/>
    <w:rsid w:val="00594151"/>
    <w:rsid w:val="005B28CA"/>
    <w:rsid w:val="005C256F"/>
    <w:rsid w:val="00601F06"/>
    <w:rsid w:val="0060485A"/>
    <w:rsid w:val="00605541"/>
    <w:rsid w:val="006125FF"/>
    <w:rsid w:val="00622693"/>
    <w:rsid w:val="00625B49"/>
    <w:rsid w:val="00632E4D"/>
    <w:rsid w:val="00654124"/>
    <w:rsid w:val="006561F0"/>
    <w:rsid w:val="0066492B"/>
    <w:rsid w:val="006706C4"/>
    <w:rsid w:val="00685228"/>
    <w:rsid w:val="006855BD"/>
    <w:rsid w:val="0069304F"/>
    <w:rsid w:val="006A5317"/>
    <w:rsid w:val="006A54A0"/>
    <w:rsid w:val="006C081D"/>
    <w:rsid w:val="006C16A6"/>
    <w:rsid w:val="006C324C"/>
    <w:rsid w:val="006C42EF"/>
    <w:rsid w:val="006D432C"/>
    <w:rsid w:val="006D44FE"/>
    <w:rsid w:val="006E1AE9"/>
    <w:rsid w:val="006E3065"/>
    <w:rsid w:val="006E4EDB"/>
    <w:rsid w:val="006F018B"/>
    <w:rsid w:val="00710196"/>
    <w:rsid w:val="00715C7C"/>
    <w:rsid w:val="00716F0C"/>
    <w:rsid w:val="00723C70"/>
    <w:rsid w:val="00724F0A"/>
    <w:rsid w:val="0072731E"/>
    <w:rsid w:val="00752139"/>
    <w:rsid w:val="00753D29"/>
    <w:rsid w:val="007814E5"/>
    <w:rsid w:val="0078542B"/>
    <w:rsid w:val="007938BF"/>
    <w:rsid w:val="007B04BF"/>
    <w:rsid w:val="007B2B00"/>
    <w:rsid w:val="007B6686"/>
    <w:rsid w:val="007B6FDA"/>
    <w:rsid w:val="007C3AB3"/>
    <w:rsid w:val="007D1D51"/>
    <w:rsid w:val="007D438D"/>
    <w:rsid w:val="007D5E3C"/>
    <w:rsid w:val="007E28FC"/>
    <w:rsid w:val="007F6A57"/>
    <w:rsid w:val="00802986"/>
    <w:rsid w:val="008069CF"/>
    <w:rsid w:val="008073E7"/>
    <w:rsid w:val="008162CB"/>
    <w:rsid w:val="008166D6"/>
    <w:rsid w:val="00816F0B"/>
    <w:rsid w:val="008220CA"/>
    <w:rsid w:val="00846853"/>
    <w:rsid w:val="008523A6"/>
    <w:rsid w:val="0085471D"/>
    <w:rsid w:val="00855B2E"/>
    <w:rsid w:val="008808BD"/>
    <w:rsid w:val="008844B3"/>
    <w:rsid w:val="00887541"/>
    <w:rsid w:val="0089126B"/>
    <w:rsid w:val="00893111"/>
    <w:rsid w:val="0089776E"/>
    <w:rsid w:val="008A1D1F"/>
    <w:rsid w:val="008B19E4"/>
    <w:rsid w:val="008D1754"/>
    <w:rsid w:val="008D2D6C"/>
    <w:rsid w:val="008D4B95"/>
    <w:rsid w:val="008F091B"/>
    <w:rsid w:val="008F0B6D"/>
    <w:rsid w:val="008F750B"/>
    <w:rsid w:val="009112E4"/>
    <w:rsid w:val="00912E15"/>
    <w:rsid w:val="0095072E"/>
    <w:rsid w:val="00951F59"/>
    <w:rsid w:val="00955A9F"/>
    <w:rsid w:val="00962683"/>
    <w:rsid w:val="00971627"/>
    <w:rsid w:val="00973981"/>
    <w:rsid w:val="00987A16"/>
    <w:rsid w:val="0099330A"/>
    <w:rsid w:val="00994EDB"/>
    <w:rsid w:val="009A1EB0"/>
    <w:rsid w:val="009B3505"/>
    <w:rsid w:val="009B4313"/>
    <w:rsid w:val="009C259B"/>
    <w:rsid w:val="009C61C5"/>
    <w:rsid w:val="009D2B73"/>
    <w:rsid w:val="009D39F0"/>
    <w:rsid w:val="009D3DF7"/>
    <w:rsid w:val="009F2F2F"/>
    <w:rsid w:val="009F2FD7"/>
    <w:rsid w:val="00A23B0C"/>
    <w:rsid w:val="00A27B72"/>
    <w:rsid w:val="00A32CBF"/>
    <w:rsid w:val="00A366F7"/>
    <w:rsid w:val="00A50ADD"/>
    <w:rsid w:val="00A62074"/>
    <w:rsid w:val="00A72E94"/>
    <w:rsid w:val="00A863DD"/>
    <w:rsid w:val="00A90BCE"/>
    <w:rsid w:val="00A95836"/>
    <w:rsid w:val="00A95BC6"/>
    <w:rsid w:val="00A95DAD"/>
    <w:rsid w:val="00A9624B"/>
    <w:rsid w:val="00A96368"/>
    <w:rsid w:val="00AB3B10"/>
    <w:rsid w:val="00AB5194"/>
    <w:rsid w:val="00AC01EB"/>
    <w:rsid w:val="00AC6F2E"/>
    <w:rsid w:val="00AD382E"/>
    <w:rsid w:val="00AD3B06"/>
    <w:rsid w:val="00AD622B"/>
    <w:rsid w:val="00AE596C"/>
    <w:rsid w:val="00AF33D1"/>
    <w:rsid w:val="00B01707"/>
    <w:rsid w:val="00B065B2"/>
    <w:rsid w:val="00B07D91"/>
    <w:rsid w:val="00B11AB3"/>
    <w:rsid w:val="00B140A8"/>
    <w:rsid w:val="00B27223"/>
    <w:rsid w:val="00B36A8F"/>
    <w:rsid w:val="00B4470D"/>
    <w:rsid w:val="00B51BBA"/>
    <w:rsid w:val="00B52A1E"/>
    <w:rsid w:val="00B61857"/>
    <w:rsid w:val="00B64148"/>
    <w:rsid w:val="00B80491"/>
    <w:rsid w:val="00B91986"/>
    <w:rsid w:val="00BA2EFE"/>
    <w:rsid w:val="00BA32AE"/>
    <w:rsid w:val="00BA5731"/>
    <w:rsid w:val="00BC525C"/>
    <w:rsid w:val="00BC7D70"/>
    <w:rsid w:val="00BD0300"/>
    <w:rsid w:val="00BD19A5"/>
    <w:rsid w:val="00BD4E7C"/>
    <w:rsid w:val="00BD6447"/>
    <w:rsid w:val="00BE1EDB"/>
    <w:rsid w:val="00BE2790"/>
    <w:rsid w:val="00BE3ADD"/>
    <w:rsid w:val="00BF0806"/>
    <w:rsid w:val="00BF356C"/>
    <w:rsid w:val="00BF7AC9"/>
    <w:rsid w:val="00C0125C"/>
    <w:rsid w:val="00C04E88"/>
    <w:rsid w:val="00C1004D"/>
    <w:rsid w:val="00C15454"/>
    <w:rsid w:val="00C20DA7"/>
    <w:rsid w:val="00C22501"/>
    <w:rsid w:val="00C23402"/>
    <w:rsid w:val="00C30F65"/>
    <w:rsid w:val="00C31F47"/>
    <w:rsid w:val="00C362BA"/>
    <w:rsid w:val="00C45364"/>
    <w:rsid w:val="00C456A1"/>
    <w:rsid w:val="00C47D4A"/>
    <w:rsid w:val="00C510A9"/>
    <w:rsid w:val="00C51E66"/>
    <w:rsid w:val="00C5206C"/>
    <w:rsid w:val="00C5595F"/>
    <w:rsid w:val="00C56C25"/>
    <w:rsid w:val="00C578CD"/>
    <w:rsid w:val="00C63462"/>
    <w:rsid w:val="00C63654"/>
    <w:rsid w:val="00C731FC"/>
    <w:rsid w:val="00C73478"/>
    <w:rsid w:val="00C73B8E"/>
    <w:rsid w:val="00C76703"/>
    <w:rsid w:val="00C9123C"/>
    <w:rsid w:val="00C9562E"/>
    <w:rsid w:val="00C95FFF"/>
    <w:rsid w:val="00CA1652"/>
    <w:rsid w:val="00CA4AC8"/>
    <w:rsid w:val="00CA68E1"/>
    <w:rsid w:val="00CB2CCE"/>
    <w:rsid w:val="00CD185F"/>
    <w:rsid w:val="00CD3DB8"/>
    <w:rsid w:val="00CD5613"/>
    <w:rsid w:val="00CE3CB3"/>
    <w:rsid w:val="00CE45B9"/>
    <w:rsid w:val="00CE7416"/>
    <w:rsid w:val="00CF2324"/>
    <w:rsid w:val="00D027EF"/>
    <w:rsid w:val="00D10E54"/>
    <w:rsid w:val="00D11281"/>
    <w:rsid w:val="00D12B45"/>
    <w:rsid w:val="00D14853"/>
    <w:rsid w:val="00D33D54"/>
    <w:rsid w:val="00D33D7B"/>
    <w:rsid w:val="00D3452D"/>
    <w:rsid w:val="00D43FC4"/>
    <w:rsid w:val="00D510D4"/>
    <w:rsid w:val="00D55EF1"/>
    <w:rsid w:val="00D6329D"/>
    <w:rsid w:val="00D64CF0"/>
    <w:rsid w:val="00D7018C"/>
    <w:rsid w:val="00D74ECF"/>
    <w:rsid w:val="00D7537F"/>
    <w:rsid w:val="00D75FB3"/>
    <w:rsid w:val="00D81974"/>
    <w:rsid w:val="00D832F1"/>
    <w:rsid w:val="00D91145"/>
    <w:rsid w:val="00D92AEB"/>
    <w:rsid w:val="00DA2A47"/>
    <w:rsid w:val="00DD09FF"/>
    <w:rsid w:val="00DD1FE4"/>
    <w:rsid w:val="00DE5F51"/>
    <w:rsid w:val="00DE64E1"/>
    <w:rsid w:val="00DF54E2"/>
    <w:rsid w:val="00DF6D77"/>
    <w:rsid w:val="00E028B9"/>
    <w:rsid w:val="00E02DD3"/>
    <w:rsid w:val="00E03A07"/>
    <w:rsid w:val="00E0494B"/>
    <w:rsid w:val="00E0519A"/>
    <w:rsid w:val="00E0610A"/>
    <w:rsid w:val="00E0688B"/>
    <w:rsid w:val="00E13683"/>
    <w:rsid w:val="00E16688"/>
    <w:rsid w:val="00E25201"/>
    <w:rsid w:val="00E25A02"/>
    <w:rsid w:val="00E331AC"/>
    <w:rsid w:val="00E35449"/>
    <w:rsid w:val="00E3760B"/>
    <w:rsid w:val="00E376E7"/>
    <w:rsid w:val="00E44A0B"/>
    <w:rsid w:val="00E5029F"/>
    <w:rsid w:val="00E50AAD"/>
    <w:rsid w:val="00E55AC0"/>
    <w:rsid w:val="00E56023"/>
    <w:rsid w:val="00E62D10"/>
    <w:rsid w:val="00E656AB"/>
    <w:rsid w:val="00E74B4B"/>
    <w:rsid w:val="00E751AC"/>
    <w:rsid w:val="00E76944"/>
    <w:rsid w:val="00E92C9E"/>
    <w:rsid w:val="00E955E1"/>
    <w:rsid w:val="00EA4B4A"/>
    <w:rsid w:val="00EB3B18"/>
    <w:rsid w:val="00EB49C5"/>
    <w:rsid w:val="00EB586C"/>
    <w:rsid w:val="00EB7C9C"/>
    <w:rsid w:val="00EC4060"/>
    <w:rsid w:val="00EC4F37"/>
    <w:rsid w:val="00EC6EBB"/>
    <w:rsid w:val="00ED24C0"/>
    <w:rsid w:val="00EE5291"/>
    <w:rsid w:val="00EF2DEB"/>
    <w:rsid w:val="00F019C2"/>
    <w:rsid w:val="00F033D3"/>
    <w:rsid w:val="00F04197"/>
    <w:rsid w:val="00F2502B"/>
    <w:rsid w:val="00F27650"/>
    <w:rsid w:val="00F27991"/>
    <w:rsid w:val="00F27C1F"/>
    <w:rsid w:val="00F37C1E"/>
    <w:rsid w:val="00F444A6"/>
    <w:rsid w:val="00F4481E"/>
    <w:rsid w:val="00F449FF"/>
    <w:rsid w:val="00F51530"/>
    <w:rsid w:val="00F533AE"/>
    <w:rsid w:val="00F60780"/>
    <w:rsid w:val="00F721DE"/>
    <w:rsid w:val="00F737D0"/>
    <w:rsid w:val="00F73EA4"/>
    <w:rsid w:val="00F73FE1"/>
    <w:rsid w:val="00F82D19"/>
    <w:rsid w:val="00F86B69"/>
    <w:rsid w:val="00F93991"/>
    <w:rsid w:val="00F94851"/>
    <w:rsid w:val="00FB20BB"/>
    <w:rsid w:val="00FB7B08"/>
    <w:rsid w:val="00FC07A7"/>
    <w:rsid w:val="00FC0922"/>
    <w:rsid w:val="00FC56ED"/>
    <w:rsid w:val="00FD2034"/>
    <w:rsid w:val="00FD28BF"/>
    <w:rsid w:val="00FD3C20"/>
    <w:rsid w:val="00FE7027"/>
    <w:rsid w:val="00FE7234"/>
    <w:rsid w:val="00FF133D"/>
    <w:rsid w:val="00FF13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7FD6"/>
  <w15:chartTrackingRefBased/>
  <w15:docId w15:val="{2D62D615-9812-46B7-8ECA-437E1F19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71627"/>
    <w:pPr>
      <w:spacing w:after="120" w:line="240" w:lineRule="auto"/>
    </w:pPr>
    <w:rPr>
      <w:rFonts w:ascii="Gotham Book" w:eastAsia="ヒラギノ角ゴ Pro W3" w:hAnsi="Gotham Book" w:cs="Times New Roman"/>
      <w:color w:val="000000"/>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qFormat/>
    <w:rsid w:val="00971627"/>
    <w:pPr>
      <w:spacing w:before="240" w:after="0" w:line="264" w:lineRule="auto"/>
    </w:pPr>
    <w:rPr>
      <w:b/>
      <w:bCs/>
      <w:color w:val="000000" w:themeColor="text1"/>
      <w:sz w:val="40"/>
      <w:szCs w:val="40"/>
    </w:rPr>
  </w:style>
  <w:style w:type="character" w:customStyle="1" w:styleId="RubrikChar">
    <w:name w:val="Rubrik Char"/>
    <w:basedOn w:val="Standardstycketeckensnitt"/>
    <w:link w:val="Rubrik"/>
    <w:rsid w:val="00971627"/>
    <w:rPr>
      <w:rFonts w:ascii="Gotham Book" w:eastAsia="ヒラギノ角ゴ Pro W3" w:hAnsi="Gotham Book" w:cs="Times New Roman"/>
      <w:b/>
      <w:bCs/>
      <w:color w:val="000000" w:themeColor="text1"/>
      <w:sz w:val="40"/>
      <w:szCs w:val="40"/>
      <w:lang w:val="en-US" w:eastAsia="en-US"/>
    </w:rPr>
  </w:style>
  <w:style w:type="character" w:styleId="Hyperlnk">
    <w:name w:val="Hyperlink"/>
    <w:basedOn w:val="Standardstycketeckensnitt"/>
    <w:uiPriority w:val="99"/>
    <w:unhideWhenUsed/>
    <w:rsid w:val="00971627"/>
    <w:rPr>
      <w:color w:val="0563C1" w:themeColor="hyperlink"/>
      <w:u w:val="single"/>
    </w:rPr>
  </w:style>
  <w:style w:type="paragraph" w:customStyle="1" w:styleId="zBandoTITLE">
    <w:name w:val="zBando TITLE"/>
    <w:basedOn w:val="Normal"/>
    <w:qFormat/>
    <w:rsid w:val="00971627"/>
    <w:pPr>
      <w:spacing w:line="288" w:lineRule="auto"/>
    </w:pPr>
    <w:rPr>
      <w:b/>
      <w:bCs/>
      <w:color w:val="FFFFFF"/>
      <w:sz w:val="24"/>
    </w:rPr>
  </w:style>
  <w:style w:type="character" w:styleId="Olstomnmnande">
    <w:name w:val="Unresolved Mention"/>
    <w:basedOn w:val="Standardstycketeckensnitt"/>
    <w:uiPriority w:val="99"/>
    <w:semiHidden/>
    <w:unhideWhenUsed/>
    <w:rsid w:val="00971627"/>
    <w:rPr>
      <w:color w:val="605E5C"/>
      <w:shd w:val="clear" w:color="auto" w:fill="E1DFDD"/>
    </w:rPr>
  </w:style>
  <w:style w:type="character" w:styleId="AnvndHyperlnk">
    <w:name w:val="FollowedHyperlink"/>
    <w:basedOn w:val="Standardstycketeckensnitt"/>
    <w:uiPriority w:val="99"/>
    <w:semiHidden/>
    <w:unhideWhenUsed/>
    <w:rsid w:val="00971627"/>
    <w:rPr>
      <w:color w:val="954F72" w:themeColor="followedHyperlink"/>
      <w:u w:val="single"/>
    </w:rPr>
  </w:style>
  <w:style w:type="paragraph" w:styleId="HTML-frformaterad">
    <w:name w:val="HTML Preformatted"/>
    <w:basedOn w:val="Normal"/>
    <w:link w:val="HTML-frformateradChar"/>
    <w:uiPriority w:val="99"/>
    <w:semiHidden/>
    <w:unhideWhenUsed/>
    <w:rsid w:val="00822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frformateradChar">
    <w:name w:val="HTML - förformaterad Char"/>
    <w:basedOn w:val="Standardstycketeckensnitt"/>
    <w:link w:val="HTML-frformaterad"/>
    <w:uiPriority w:val="99"/>
    <w:semiHidden/>
    <w:rsid w:val="008220CA"/>
    <w:rPr>
      <w:rFonts w:ascii="Courier New" w:eastAsia="Times New Roman" w:hAnsi="Courier New" w:cs="Courier New"/>
      <w:sz w:val="20"/>
      <w:szCs w:val="20"/>
    </w:rPr>
  </w:style>
  <w:style w:type="character" w:customStyle="1" w:styleId="y2iqfc">
    <w:name w:val="y2iqfc"/>
    <w:basedOn w:val="Standardstycketeckensnitt"/>
    <w:rsid w:val="008220CA"/>
  </w:style>
  <w:style w:type="paragraph" w:customStyle="1" w:styleId="Bullet1">
    <w:name w:val="Bullet 1"/>
    <w:basedOn w:val="Normal"/>
    <w:qFormat/>
    <w:rsid w:val="00C23402"/>
    <w:pPr>
      <w:numPr>
        <w:numId w:val="1"/>
      </w:numPr>
    </w:pPr>
    <w:rPr>
      <w:color w:val="auto"/>
    </w:rPr>
  </w:style>
  <w:style w:type="table" w:styleId="Tabellrutnt">
    <w:name w:val="Table Grid"/>
    <w:basedOn w:val="Normaltabell"/>
    <w:rsid w:val="00C23402"/>
    <w:pPr>
      <w:spacing w:after="0" w:line="240" w:lineRule="auto"/>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
    <w:name w:val="[Aucun style]"/>
    <w:rsid w:val="00C23402"/>
    <w:pPr>
      <w:autoSpaceDE w:val="0"/>
      <w:autoSpaceDN w:val="0"/>
      <w:adjustRightInd w:val="0"/>
      <w:spacing w:after="0" w:line="288" w:lineRule="auto"/>
      <w:textAlignment w:val="center"/>
    </w:pPr>
    <w:rPr>
      <w:rFonts w:ascii="MinionPro-Regular" w:eastAsia="SimSun" w:hAnsi="MinionPro-Regular" w:cs="MinionPro-Regular"/>
      <w:color w:val="000000"/>
      <w:sz w:val="24"/>
      <w:szCs w:val="24"/>
      <w:lang w:val="fr-FR" w:eastAsia="en-US"/>
    </w:rPr>
  </w:style>
  <w:style w:type="paragraph" w:styleId="Sidhuvud">
    <w:name w:val="header"/>
    <w:basedOn w:val="Normal"/>
    <w:link w:val="SidhuvudChar"/>
    <w:uiPriority w:val="99"/>
    <w:unhideWhenUsed/>
    <w:rsid w:val="00C23402"/>
    <w:pPr>
      <w:tabs>
        <w:tab w:val="center" w:pos="4513"/>
        <w:tab w:val="right" w:pos="9026"/>
      </w:tabs>
      <w:spacing w:after="0"/>
    </w:pPr>
  </w:style>
  <w:style w:type="character" w:customStyle="1" w:styleId="SidhuvudChar">
    <w:name w:val="Sidhuvud Char"/>
    <w:basedOn w:val="Standardstycketeckensnitt"/>
    <w:link w:val="Sidhuvud"/>
    <w:uiPriority w:val="99"/>
    <w:rsid w:val="00C23402"/>
    <w:rPr>
      <w:rFonts w:ascii="Gotham Book" w:eastAsia="ヒラギノ角ゴ Pro W3" w:hAnsi="Gotham Book" w:cs="Times New Roman"/>
      <w:color w:val="000000"/>
      <w:szCs w:val="24"/>
      <w:lang w:val="en-US" w:eastAsia="en-US"/>
    </w:rPr>
  </w:style>
  <w:style w:type="paragraph" w:styleId="Sidfot">
    <w:name w:val="footer"/>
    <w:basedOn w:val="Normal"/>
    <w:link w:val="SidfotChar"/>
    <w:uiPriority w:val="99"/>
    <w:unhideWhenUsed/>
    <w:rsid w:val="00C23402"/>
    <w:pPr>
      <w:tabs>
        <w:tab w:val="center" w:pos="4513"/>
        <w:tab w:val="right" w:pos="9026"/>
      </w:tabs>
      <w:spacing w:after="0"/>
    </w:pPr>
  </w:style>
  <w:style w:type="character" w:customStyle="1" w:styleId="SidfotChar">
    <w:name w:val="Sidfot Char"/>
    <w:basedOn w:val="Standardstycketeckensnitt"/>
    <w:link w:val="Sidfot"/>
    <w:uiPriority w:val="99"/>
    <w:rsid w:val="00C23402"/>
    <w:rPr>
      <w:rFonts w:ascii="Gotham Book" w:eastAsia="ヒラギノ角ゴ Pro W3" w:hAnsi="Gotham Book" w:cs="Times New Roman"/>
      <w:color w:val="000000"/>
      <w:szCs w:val="24"/>
      <w:lang w:val="en-US" w:eastAsia="en-US"/>
    </w:rPr>
  </w:style>
  <w:style w:type="paragraph" w:customStyle="1" w:styleId="zFooter">
    <w:name w:val="z Footer"/>
    <w:basedOn w:val="Normal"/>
    <w:qFormat/>
    <w:rsid w:val="00C23402"/>
    <w:pPr>
      <w:spacing w:after="0"/>
      <w:jc w:val="center"/>
    </w:pPr>
    <w:rPr>
      <w:color w:val="5B9BD5" w:themeColor="accent5"/>
      <w:sz w:val="16"/>
      <w:szCs w:val="16"/>
    </w:rPr>
  </w:style>
  <w:style w:type="character" w:styleId="Kommentarsreferens">
    <w:name w:val="annotation reference"/>
    <w:basedOn w:val="Standardstycketeckensnitt"/>
    <w:uiPriority w:val="99"/>
    <w:semiHidden/>
    <w:unhideWhenUsed/>
    <w:rsid w:val="00063544"/>
    <w:rPr>
      <w:sz w:val="16"/>
      <w:szCs w:val="16"/>
    </w:rPr>
  </w:style>
  <w:style w:type="paragraph" w:styleId="Kommentarer">
    <w:name w:val="annotation text"/>
    <w:basedOn w:val="Normal"/>
    <w:link w:val="KommentarerChar"/>
    <w:uiPriority w:val="99"/>
    <w:unhideWhenUsed/>
    <w:rsid w:val="00063544"/>
    <w:rPr>
      <w:sz w:val="20"/>
      <w:szCs w:val="20"/>
    </w:rPr>
  </w:style>
  <w:style w:type="character" w:customStyle="1" w:styleId="KommentarerChar">
    <w:name w:val="Kommentarer Char"/>
    <w:basedOn w:val="Standardstycketeckensnitt"/>
    <w:link w:val="Kommentarer"/>
    <w:uiPriority w:val="99"/>
    <w:rsid w:val="00063544"/>
    <w:rPr>
      <w:rFonts w:ascii="Gotham Book" w:eastAsia="ヒラギノ角ゴ Pro W3" w:hAnsi="Gotham Book" w:cs="Times New Roman"/>
      <w:color w:val="000000"/>
      <w:sz w:val="20"/>
      <w:szCs w:val="20"/>
      <w:lang w:val="en-US" w:eastAsia="en-US"/>
    </w:rPr>
  </w:style>
  <w:style w:type="paragraph" w:styleId="Kommentarsmne">
    <w:name w:val="annotation subject"/>
    <w:basedOn w:val="Kommentarer"/>
    <w:next w:val="Kommentarer"/>
    <w:link w:val="KommentarsmneChar"/>
    <w:uiPriority w:val="99"/>
    <w:semiHidden/>
    <w:unhideWhenUsed/>
    <w:rsid w:val="00063544"/>
    <w:rPr>
      <w:b/>
      <w:bCs/>
    </w:rPr>
  </w:style>
  <w:style w:type="character" w:customStyle="1" w:styleId="KommentarsmneChar">
    <w:name w:val="Kommentarsämne Char"/>
    <w:basedOn w:val="KommentarerChar"/>
    <w:link w:val="Kommentarsmne"/>
    <w:uiPriority w:val="99"/>
    <w:semiHidden/>
    <w:rsid w:val="00063544"/>
    <w:rPr>
      <w:rFonts w:ascii="Gotham Book" w:eastAsia="ヒラギノ角ゴ Pro W3" w:hAnsi="Gotham Book" w:cs="Times New Roman"/>
      <w:b/>
      <w:bCs/>
      <w:color w:val="000000"/>
      <w:sz w:val="20"/>
      <w:szCs w:val="20"/>
      <w:lang w:val="en-US" w:eastAsia="en-US"/>
    </w:rPr>
  </w:style>
  <w:style w:type="paragraph" w:styleId="Liststycke">
    <w:name w:val="List Paragraph"/>
    <w:basedOn w:val="Normal"/>
    <w:uiPriority w:val="34"/>
    <w:qFormat/>
    <w:rsid w:val="0066492B"/>
    <w:pPr>
      <w:ind w:left="720"/>
      <w:contextualSpacing/>
    </w:pPr>
  </w:style>
  <w:style w:type="paragraph" w:styleId="Fotnotstext">
    <w:name w:val="footnote text"/>
    <w:basedOn w:val="Normal"/>
    <w:link w:val="FotnotstextChar"/>
    <w:uiPriority w:val="99"/>
    <w:semiHidden/>
    <w:unhideWhenUsed/>
    <w:rsid w:val="001144EA"/>
    <w:pPr>
      <w:spacing w:after="0"/>
    </w:pPr>
    <w:rPr>
      <w:rFonts w:asciiTheme="minorHAnsi" w:eastAsiaTheme="minorEastAsia" w:hAnsiTheme="minorHAnsi" w:cstheme="minorBidi"/>
      <w:color w:val="auto"/>
      <w:sz w:val="20"/>
      <w:szCs w:val="20"/>
      <w:lang w:eastAsia="zh-CN"/>
    </w:rPr>
  </w:style>
  <w:style w:type="character" w:customStyle="1" w:styleId="FotnotstextChar">
    <w:name w:val="Fotnotstext Char"/>
    <w:basedOn w:val="Standardstycketeckensnitt"/>
    <w:link w:val="Fotnotstext"/>
    <w:uiPriority w:val="99"/>
    <w:semiHidden/>
    <w:rsid w:val="001144EA"/>
    <w:rPr>
      <w:sz w:val="20"/>
      <w:szCs w:val="20"/>
    </w:rPr>
  </w:style>
  <w:style w:type="character" w:styleId="Fotnotsreferens">
    <w:name w:val="footnote reference"/>
    <w:basedOn w:val="Standardstycketeckensnitt"/>
    <w:uiPriority w:val="99"/>
    <w:semiHidden/>
    <w:unhideWhenUsed/>
    <w:rsid w:val="001144EA"/>
    <w:rPr>
      <w:vertAlign w:val="superscript"/>
    </w:rPr>
  </w:style>
  <w:style w:type="paragraph" w:styleId="Revision">
    <w:name w:val="Revision"/>
    <w:hidden/>
    <w:uiPriority w:val="99"/>
    <w:semiHidden/>
    <w:rsid w:val="00524664"/>
    <w:pPr>
      <w:spacing w:after="0" w:line="240" w:lineRule="auto"/>
    </w:pPr>
    <w:rPr>
      <w:rFonts w:ascii="Gotham Book" w:eastAsia="ヒラギノ角ゴ Pro W3" w:hAnsi="Gotham Book" w:cs="Times New Roman"/>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15250">
      <w:bodyDiv w:val="1"/>
      <w:marLeft w:val="0"/>
      <w:marRight w:val="0"/>
      <w:marTop w:val="0"/>
      <w:marBottom w:val="0"/>
      <w:divBdr>
        <w:top w:val="none" w:sz="0" w:space="0" w:color="auto"/>
        <w:left w:val="none" w:sz="0" w:space="0" w:color="auto"/>
        <w:bottom w:val="none" w:sz="0" w:space="0" w:color="auto"/>
        <w:right w:val="none" w:sz="0" w:space="0" w:color="auto"/>
      </w:divBdr>
    </w:div>
    <w:div w:id="21302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tax/beps/public-consultation-document-pillar-one-amount-a-tax-base-determinat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f140b-4145-4024-8bcc-6d7083f15a24" xsi:nil="true"/>
    <cd566fe4f739453c890791ece589dd09 xmlns="6e0672cc-2b49-4aef-a692-9dbb21d7e3f3">
      <Terms xmlns="http://schemas.microsoft.com/office/infopath/2007/PartnerControls"/>
    </cd566fe4f739453c890791ece589dd0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3D1B2D00823408CE8450BC0946B1D" ma:contentTypeVersion="16" ma:contentTypeDescription="Create a new document." ma:contentTypeScope="" ma:versionID="749933ac60cd275838fecaf2a2b42920">
  <xsd:schema xmlns:xsd="http://www.w3.org/2001/XMLSchema" xmlns:xs="http://www.w3.org/2001/XMLSchema" xmlns:p="http://schemas.microsoft.com/office/2006/metadata/properties" xmlns:ns2="6e0672cc-2b49-4aef-a692-9dbb21d7e3f3" xmlns:ns3="465ae127-5d1e-48f1-8bba-a4710e9de403" xmlns:ns4="598f140b-4145-4024-8bcc-6d7083f15a24" xmlns:ns5="42195723-b6d9-4926-97c3-bdd7cf343cf8" targetNamespace="http://schemas.microsoft.com/office/2006/metadata/properties" ma:root="true" ma:fieldsID="7718a048471fcf438c19e0fe88a087e1" ns2:_="" ns3:_="" ns4:_="" ns5:_="">
    <xsd:import namespace="6e0672cc-2b49-4aef-a692-9dbb21d7e3f3"/>
    <xsd:import namespace="465ae127-5d1e-48f1-8bba-a4710e9de403"/>
    <xsd:import namespace="598f140b-4145-4024-8bcc-6d7083f15a24"/>
    <xsd:import namespace="42195723-b6d9-4926-97c3-bdd7cf343cf8"/>
    <xsd:element name="properties">
      <xsd:complexType>
        <xsd:sequence>
          <xsd:element name="documentManagement">
            <xsd:complexType>
              <xsd:all>
                <xsd:element ref="ns2:cd566fe4f739453c890791ece589dd09" minOccurs="0"/>
                <xsd:element ref="ns4:TaxCatchAll"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3:SharedWithUsers" minOccurs="0"/>
                <xsd:element ref="ns3:SharedWithDetails"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672cc-2b49-4aef-a692-9dbb21d7e3f3" elementFormDefault="qualified">
    <xsd:import namespace="http://schemas.microsoft.com/office/2006/documentManagement/types"/>
    <xsd:import namespace="http://schemas.microsoft.com/office/infopath/2007/PartnerControls"/>
    <xsd:element name="cd566fe4f739453c890791ece589dd09" ma:index="8" nillable="true" ma:taxonomy="true" ma:internalName="cd566fe4f739453c890791ece589dd09" ma:taxonomyFieldName="Provenance" ma:displayName="Provenance" ma:default="" ma:fieldId="{cd566fe4-f739-453c-8907-91ece589dd09}" ma:sspId="b34d393a-c683-4ae6-92a3-16801d27c9b4" ma:termSetId="9e01a060-767e-4e44-bf53-df9ed62d73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ae127-5d1e-48f1-8bba-a4710e9de4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f140b-4145-4024-8bcc-6d7083f15a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08c5b-dc04-4112-92d3-dfe3254644ac}" ma:internalName="TaxCatchAll" ma:showField="CatchAllData" ma:web="465ae127-5d1e-48f1-8bba-a4710e9de4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195723-b6d9-4926-97c3-bdd7cf343c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34D5-19E9-46B2-AED8-E8BF48398908}">
  <ds:schemaRefs>
    <ds:schemaRef ds:uri="http://schemas.microsoft.com/office/2006/metadata/properties"/>
    <ds:schemaRef ds:uri="http://schemas.microsoft.com/office/infopath/2007/PartnerControls"/>
    <ds:schemaRef ds:uri="598f140b-4145-4024-8bcc-6d7083f15a24"/>
    <ds:schemaRef ds:uri="6e0672cc-2b49-4aef-a692-9dbb21d7e3f3"/>
  </ds:schemaRefs>
</ds:datastoreItem>
</file>

<file path=customXml/itemProps2.xml><?xml version="1.0" encoding="utf-8"?>
<ds:datastoreItem xmlns:ds="http://schemas.openxmlformats.org/officeDocument/2006/customXml" ds:itemID="{9D534DAD-13F3-40B3-B212-1596791E63D0}">
  <ds:schemaRefs>
    <ds:schemaRef ds:uri="http://schemas.microsoft.com/sharepoint/v3/contenttype/forms"/>
  </ds:schemaRefs>
</ds:datastoreItem>
</file>

<file path=customXml/itemProps3.xml><?xml version="1.0" encoding="utf-8"?>
<ds:datastoreItem xmlns:ds="http://schemas.openxmlformats.org/officeDocument/2006/customXml" ds:itemID="{0C29AF90-C832-49BD-BC1B-F42E5697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672cc-2b49-4aef-a692-9dbb21d7e3f3"/>
    <ds:schemaRef ds:uri="465ae127-5d1e-48f1-8bba-a4710e9de403"/>
    <ds:schemaRef ds:uri="598f140b-4145-4024-8bcc-6d7083f15a24"/>
    <ds:schemaRef ds:uri="42195723-b6d9-4926-97c3-bdd7cf343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8C3B0-6C7E-497E-B623-8D65F573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2370</Words>
  <Characters>12562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International Chamber of Commerce</Company>
  <LinksUpToDate>false</LinksUpToDate>
  <CharactersWithSpaces>14903</CharactersWithSpaces>
  <SharedDoc>false</SharedDoc>
  <HLinks>
    <vt:vector size="6" baseType="variant">
      <vt:variant>
        <vt:i4>6815868</vt:i4>
      </vt:variant>
      <vt:variant>
        <vt:i4>0</vt:i4>
      </vt:variant>
      <vt:variant>
        <vt:i4>0</vt:i4>
      </vt:variant>
      <vt:variant>
        <vt:i4>5</vt:i4>
      </vt:variant>
      <vt:variant>
        <vt:lpwstr>https://www.oecd.org/tax/beps/public-consultation-document-pillar-one-amount-a-tax-base-determinations.pdf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 Kseniia</dc:creator>
  <cp:keywords/>
  <dc:description/>
  <cp:lastModifiedBy>Alfred Ram</cp:lastModifiedBy>
  <cp:revision>2</cp:revision>
  <dcterms:created xsi:type="dcterms:W3CDTF">2022-02-25T10:05:00Z</dcterms:created>
  <dcterms:modified xsi:type="dcterms:W3CDTF">2022-02-25T10:05:00Z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0x010100C9E3D1B2D00823408CE8450BC0946B1D</vt:lpwstr>
  </property>
</Properties>
</file>