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Semibold"/>
          <w:b/>
          <w:sz w:val="20"/>
          <w:szCs w:val="20"/>
          <w:lang w:val="en-US"/>
        </w:rPr>
      </w:pPr>
      <w:r w:rsidRPr="00B019DD">
        <w:rPr>
          <w:rFonts w:cs="ACaslonPro-Semibold"/>
          <w:b/>
          <w:sz w:val="20"/>
          <w:szCs w:val="20"/>
          <w:lang w:val="en-US"/>
        </w:rPr>
        <w:t>Seminar 5 October 2016 – Cross-cultural business negotiations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Semibold"/>
          <w:sz w:val="20"/>
          <w:szCs w:val="20"/>
          <w:lang w:val="en-US"/>
        </w:rPr>
      </w:pPr>
      <w:r>
        <w:rPr>
          <w:rFonts w:cs="ACaslonPro-Semibold"/>
          <w:sz w:val="20"/>
          <w:szCs w:val="20"/>
          <w:lang w:val="en-US"/>
        </w:rPr>
        <w:t>SPEAKERS AND PANELLISTS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Adam Green </w:t>
      </w:r>
      <w:r w:rsidRPr="00B019DD">
        <w:rPr>
          <w:rFonts w:cs="ACaslonPro-Regular"/>
          <w:sz w:val="20"/>
          <w:szCs w:val="20"/>
          <w:lang w:val="en-US"/>
        </w:rPr>
        <w:t xml:space="preserve">is a Partner of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Mannheimer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Swartling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in Stockholm. Adam was born in New York where he started his career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at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Cravath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Swaine &amp; Moore. He settled in Stockholm and joined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Mannheimer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Swartling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in 2002 and was made a partner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in 2006. Adam is Head of the Mergers &amp; Acquisitions Group, and his work focuses primarily on the purchase and sale of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companies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and business divisions and on joint ventures. Adam is a regular lecturer at Stockholm University and the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Stockholm School of Economics.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Nina Macpherson </w:t>
      </w:r>
      <w:r w:rsidRPr="00B019DD">
        <w:rPr>
          <w:rFonts w:cs="ACaslonPro-Regular"/>
          <w:sz w:val="20"/>
          <w:szCs w:val="20"/>
          <w:lang w:val="en-US"/>
        </w:rPr>
        <w:t>is General Counsel at Ericsson, where she leads a group of about 200 lawyers and other legal specialists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working for Ericsson around the globe. Nina joined Ericsson in 1996 and was appointed as General Counsel in 2011. She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is Secretary to the Board of Directors for Ericsson and is a member of the Swedish Association of Listed Companies and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the Swedish Securities Council. Prior to joining Ericsson, Nina worked as an in-house lawyer and legal advisor to various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shipping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companies and as a corporate lawyer with a Swedish law firm.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Jeff </w:t>
      </w:r>
      <w:proofErr w:type="spellStart"/>
      <w:r w:rsidRPr="00B019DD">
        <w:rPr>
          <w:rFonts w:cs="ACaslonPro-Italic"/>
          <w:i/>
          <w:iCs/>
          <w:sz w:val="20"/>
          <w:szCs w:val="20"/>
          <w:lang w:val="en-US"/>
        </w:rPr>
        <w:t>Twentyman</w:t>
      </w:r>
      <w:proofErr w:type="spellEnd"/>
      <w:r w:rsidRPr="00B019DD">
        <w:rPr>
          <w:rFonts w:cs="ACaslonPro-Italic"/>
          <w:i/>
          <w:iCs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is a Partner of Slaughter and May in London. Except for a short period as an analyst at Morgan Grenfell,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Jeff has spent his entire career at Slaughter and May. He joined the firm in 1989 and was made a partner in 1998. Jeff is Head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of the Private Equity Group and undertakes a broad range of corporate and commercial work, advising on acquisitions and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disposals, joint ventures, mergers and public takeovers, flotations and equity capital markets and private equity investment.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Jeff is also the chairman of the Legal Sustainability Alliance.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Peggy </w:t>
      </w:r>
      <w:proofErr w:type="spellStart"/>
      <w:r w:rsidRPr="00B019DD">
        <w:rPr>
          <w:rFonts w:cs="ACaslonPro-Italic"/>
          <w:i/>
          <w:iCs/>
          <w:sz w:val="20"/>
          <w:szCs w:val="20"/>
          <w:lang w:val="en-US"/>
        </w:rPr>
        <w:t>Bruzelius</w:t>
      </w:r>
      <w:proofErr w:type="spellEnd"/>
      <w:r w:rsidRPr="00B019DD">
        <w:rPr>
          <w:rFonts w:cs="ACaslonPro-Italic"/>
          <w:i/>
          <w:iCs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started her career at Boliden but joined ASEA already in 1979. She continued to work for ASEA and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subsequently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ABB until 1997, the last seven years as CEO of ABB Financial Services. After ABB she was for a short period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Executive Vice President at SEB. Since 1998 Peggy has been a director of a broad spectrum of international corporations,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currently Diageo,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Akzo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Nobel, Skandia Liv, Lundin Petroleum and Lancelot Asset Management (in which she is also an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owner). She further served as Chair of the Board of the Swedish Higher Education Authority,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Högskoleverket</w:t>
      </w:r>
      <w:proofErr w:type="spellEnd"/>
      <w:r w:rsidRPr="00B019DD">
        <w:rPr>
          <w:rFonts w:cs="ACaslonPro-Regular"/>
          <w:sz w:val="20"/>
          <w:szCs w:val="20"/>
          <w:lang w:val="en-US"/>
        </w:rPr>
        <w:t>, between 2007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and 2010. Peggy is a fellow of the Royal Swedish Academy of Engineering Sciences and was in 2005 awarded a Doctorate in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Economics (Hon. Causa) by the Stockholm School of Economics.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Sven-Christer Nilsson </w:t>
      </w:r>
      <w:r w:rsidRPr="00B019DD">
        <w:rPr>
          <w:rFonts w:cs="ACaslonPro-Regular"/>
          <w:sz w:val="20"/>
          <w:szCs w:val="20"/>
          <w:lang w:val="en-US"/>
        </w:rPr>
        <w:t>is probably best known to the general public as a former CEO of Ericsson, but it is now 17 years since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he left the company. He has since then been working in an advisory capacity and as a director with a broad spectrum of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international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corporations, ranging from venture capital to major listed companies. To mention a few, Sven-Christer served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as an Independent Director of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Assa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Abloy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from 2001 to 2015, Sprint Corporation, US, from 2008 to 2013 and of CEVA,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Inc., Israel-Ireland-US, from 2002 to present. He further served as Chairman of the Board of the Swedish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Defence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Materiel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Administration,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FMV, between 2008 and 2015. Sven-Christer is a fellow of the Royal Swedish Academy of Engineering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Sciences and of the Royal Swedish Academy of War Sciences.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Helena </w:t>
      </w:r>
      <w:proofErr w:type="spellStart"/>
      <w:r w:rsidRPr="00B019DD">
        <w:rPr>
          <w:rFonts w:cs="ACaslonPro-Italic"/>
          <w:i/>
          <w:iCs/>
          <w:sz w:val="20"/>
          <w:szCs w:val="20"/>
          <w:lang w:val="en-US"/>
        </w:rPr>
        <w:t>Svancar</w:t>
      </w:r>
      <w:proofErr w:type="spellEnd"/>
      <w:r w:rsidRPr="00B019DD">
        <w:rPr>
          <w:rFonts w:cs="ACaslonPro-Italic"/>
          <w:i/>
          <w:iCs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is Managing Director and Head of Corporate Finance Nordic Region at Deutsche Bank. Helena joined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the bank’s London based M&amp;A team in 2007 as responsible for Nordic M&amp;A. Prior to joining Deutsche Bank she was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an Assistant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Director at Rothschild in London and before this she worked for SEB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Enskilda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Securities in Stockholm and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New York. Helena works across various sectors and has been involved in some of the largest transactions in the Nordic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region.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Clients include both corporates and some of the leading private equity firms.</w:t>
      </w:r>
    </w:p>
    <w:p w:rsidR="00B019DD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rFonts w:cs="ACaslonPro-Regular"/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Frank </w:t>
      </w:r>
      <w:proofErr w:type="spellStart"/>
      <w:r w:rsidRPr="00B019DD">
        <w:rPr>
          <w:rFonts w:cs="ACaslonPro-Italic"/>
          <w:i/>
          <w:iCs/>
          <w:sz w:val="20"/>
          <w:szCs w:val="20"/>
          <w:lang w:val="en-US"/>
        </w:rPr>
        <w:t>Vecella</w:t>
      </w:r>
      <w:proofErr w:type="spellEnd"/>
      <w:r w:rsidRPr="00B019DD">
        <w:rPr>
          <w:rFonts w:cs="ACaslonPro-Italic"/>
          <w:i/>
          <w:iCs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is Associate General Counsel – Litigation for Ericsson Inc. For the past 16 years, he has been responsible for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managing and supervising all significant litigation matters involving Ericsson and its affiliates in the United States and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Canada.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He is also frequently asked to provide advice and guidance to senior management with respect to major litigation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matters pending in other parts of the world. Prior to joining Ericsson, Frank was a senior partner in the Texas-based law firm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Jackson Walker, where he worked for 18 years.</w:t>
      </w:r>
    </w:p>
    <w:p w:rsidR="00EE0BDA" w:rsidRPr="00B019DD" w:rsidRDefault="00B019DD" w:rsidP="00B019DD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B019DD">
        <w:rPr>
          <w:rFonts w:cs="ACaslonPro-Italic"/>
          <w:i/>
          <w:iCs/>
          <w:sz w:val="20"/>
          <w:szCs w:val="20"/>
          <w:lang w:val="en-US"/>
        </w:rPr>
        <w:t xml:space="preserve">Håkan </w:t>
      </w:r>
      <w:proofErr w:type="spellStart"/>
      <w:r w:rsidRPr="00B019DD">
        <w:rPr>
          <w:rFonts w:cs="ACaslonPro-Italic"/>
          <w:i/>
          <w:iCs/>
          <w:sz w:val="20"/>
          <w:szCs w:val="20"/>
          <w:lang w:val="en-US"/>
        </w:rPr>
        <w:t>Winberg</w:t>
      </w:r>
      <w:proofErr w:type="spellEnd"/>
      <w:r w:rsidRPr="00B019DD">
        <w:rPr>
          <w:rFonts w:cs="ACaslonPro-Italic"/>
          <w:i/>
          <w:iCs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worked for Securitas for 22 years as Executive Vice President and CEO, starting in 1985. Thereafter he held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 xml:space="preserve">the same position at </w:t>
      </w:r>
      <w:proofErr w:type="spellStart"/>
      <w:r w:rsidRPr="00B019DD">
        <w:rPr>
          <w:rFonts w:cs="ACaslonPro-Regular"/>
          <w:sz w:val="20"/>
          <w:szCs w:val="20"/>
          <w:lang w:val="en-US"/>
        </w:rPr>
        <w:t>Capio</w:t>
      </w:r>
      <w:proofErr w:type="spellEnd"/>
      <w:r w:rsidRPr="00B019DD">
        <w:rPr>
          <w:rFonts w:cs="ACaslonPro-Regular"/>
          <w:sz w:val="20"/>
          <w:szCs w:val="20"/>
          <w:lang w:val="en-US"/>
        </w:rPr>
        <w:t xml:space="preserve"> from 2008 to 2013. Håkan is now self-employed with ownership interests in the Indian company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SIS Security and Intelligence Services. He is also a Member of the Council of the Swedish Chamber of Commerce for the</w:t>
      </w:r>
      <w:r w:rsidRPr="00B019DD">
        <w:rPr>
          <w:rFonts w:cs="ACaslonPro-Regular"/>
          <w:sz w:val="20"/>
          <w:szCs w:val="20"/>
          <w:lang w:val="en-US"/>
        </w:rPr>
        <w:t xml:space="preserve"> </w:t>
      </w:r>
      <w:r w:rsidRPr="00B019DD">
        <w:rPr>
          <w:rFonts w:cs="ACaslonPro-Regular"/>
          <w:sz w:val="20"/>
          <w:szCs w:val="20"/>
          <w:lang w:val="en-US"/>
        </w:rPr>
        <w:t>UK and a Member of the Advisory Board at Lund University. He is currently publishing a book about value-based CFO-ship</w:t>
      </w:r>
      <w:r w:rsidRPr="00B019DD">
        <w:rPr>
          <w:rFonts w:cs="ACaslonPro-Regular"/>
          <w:sz w:val="20"/>
          <w:szCs w:val="20"/>
          <w:lang w:val="en-US"/>
        </w:rPr>
        <w:t xml:space="preserve">. </w:t>
      </w:r>
    </w:p>
    <w:sectPr w:rsidR="00EE0BDA" w:rsidRPr="00B01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DD" w:rsidRDefault="00B019DD" w:rsidP="00B019DD">
      <w:pPr>
        <w:spacing w:after="0" w:line="240" w:lineRule="auto"/>
      </w:pPr>
      <w:r>
        <w:separator/>
      </w:r>
    </w:p>
  </w:endnote>
  <w:endnote w:type="continuationSeparator" w:id="0">
    <w:p w:rsidR="00B019DD" w:rsidRDefault="00B019DD" w:rsidP="00B0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fot"/>
    </w:pPr>
    <w:r>
      <w:rPr>
        <w:noProof/>
        <w:lang w:eastAsia="sv-SE"/>
      </w:rPr>
      <w:drawing>
        <wp:inline distT="0" distB="0" distL="0" distR="0">
          <wp:extent cx="1486442" cy="31623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C NC Horz logo_S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94" cy="34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rPr>
        <w:noProof/>
        <w:color w:val="0000FF"/>
        <w:lang w:eastAsia="sv-SE"/>
      </w:rPr>
      <w:drawing>
        <wp:inline distT="0" distB="0" distL="0" distR="0" wp14:anchorId="7BB6C6C6" wp14:editId="6FBB0073">
          <wp:extent cx="1883764" cy="304800"/>
          <wp:effectExtent l="0" t="0" r="2540" b="0"/>
          <wp:docPr id="3" name="irc_mi" descr="Bildresultat för mannheimer swartli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mannheimer swartli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389" cy="31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DD" w:rsidRDefault="00B019DD" w:rsidP="00B019DD">
      <w:pPr>
        <w:spacing w:after="0" w:line="240" w:lineRule="auto"/>
      </w:pPr>
      <w:r>
        <w:separator/>
      </w:r>
    </w:p>
  </w:footnote>
  <w:footnote w:type="continuationSeparator" w:id="0">
    <w:p w:rsidR="00B019DD" w:rsidRDefault="00B019DD" w:rsidP="00B0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D" w:rsidRDefault="00B019D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D"/>
    <w:rsid w:val="007F3738"/>
    <w:rsid w:val="00B019DD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9C375"/>
  <w15:chartTrackingRefBased/>
  <w15:docId w15:val="{4F24D04A-E908-4211-A13C-4F002D0F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19DD"/>
  </w:style>
  <w:style w:type="paragraph" w:styleId="Sidfot">
    <w:name w:val="footer"/>
    <w:basedOn w:val="Normal"/>
    <w:link w:val="SidfotChar"/>
    <w:uiPriority w:val="99"/>
    <w:unhideWhenUsed/>
    <w:rsid w:val="00B0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se/url?sa=i&amp;rct=j&amp;q=&amp;esrc=s&amp;source=images&amp;cd=&amp;ved=0ahUKEwiKs9yRtu7OAhWDK5oKHdoFAK4QjRwIBw&amp;url=http://www.mannheimerswartling.se/medarbetare/jan-dernestam/&amp;psig=AFQjCNFZGSXLd1uOUhJXnjdjwNGJlh_t2g&amp;ust=14728280332853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762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Sassa Klockseth</dc:creator>
  <cp:keywords/>
  <dc:description/>
  <cp:lastModifiedBy>Sassa Klockseth</cp:lastModifiedBy>
  <cp:revision>1</cp:revision>
  <dcterms:created xsi:type="dcterms:W3CDTF">2016-09-01T14:42:00Z</dcterms:created>
  <dcterms:modified xsi:type="dcterms:W3CDTF">2016-09-01T14:55:00Z</dcterms:modified>
</cp:coreProperties>
</file>